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E6C" w:rsidRPr="00A10B4E" w:rsidRDefault="00FD5E6C" w:rsidP="00E93612">
      <w:pPr>
        <w:spacing w:before="0" w:line="240" w:lineRule="auto"/>
        <w:ind w:right="0"/>
        <w:rPr>
          <w:sz w:val="20"/>
          <w:szCs w:val="20"/>
        </w:rPr>
      </w:pPr>
      <w:r w:rsidRPr="00A10B4E">
        <w:rPr>
          <w:sz w:val="20"/>
          <w:szCs w:val="20"/>
        </w:rPr>
        <w:t xml:space="preserve">El Presupuesto del Cabildo Insular de Tenerife para el ejercicio 2019 se enmarca en la planificación estratégica a medio y largo plazo acordada por la Corporación a través del Marco Estratégico de Desarrollo Insular (MEDI). </w:t>
      </w:r>
    </w:p>
    <w:p w:rsidR="00FD5E6C" w:rsidRPr="00A10B4E" w:rsidRDefault="00FD5E6C" w:rsidP="00E93612">
      <w:pPr>
        <w:rPr>
          <w:color w:val="000000"/>
          <w:sz w:val="20"/>
          <w:szCs w:val="20"/>
        </w:rPr>
      </w:pPr>
      <w:r w:rsidRPr="00A10B4E">
        <w:rPr>
          <w:color w:val="000000"/>
          <w:sz w:val="20"/>
          <w:szCs w:val="20"/>
        </w:rPr>
        <w:t>El Marco Estratégico de Desarrollo Insular 2016 – 2025 (MEDI), aprobado por el Pleno del Cabildo en mayo de 2016, ha supuesto un paso decisivo para avanzar de manera eficaz en el desarrollo insular con una correcta planificación de los recursos. El documento afianza un nuevo modelo de gestión pública, bajo la premisa del Buen Gobierno y una estrategia integral basada en el equilibrio territorial.</w:t>
      </w:r>
    </w:p>
    <w:p w:rsidR="00FD5E6C" w:rsidRPr="00A10B4E" w:rsidRDefault="00FD5E6C" w:rsidP="00E93612">
      <w:pPr>
        <w:spacing w:before="0" w:line="240" w:lineRule="auto"/>
        <w:ind w:right="0"/>
        <w:rPr>
          <w:sz w:val="20"/>
          <w:szCs w:val="20"/>
        </w:rPr>
      </w:pPr>
      <w:r w:rsidRPr="00A10B4E">
        <w:rPr>
          <w:sz w:val="20"/>
          <w:szCs w:val="20"/>
        </w:rPr>
        <w:t xml:space="preserve">El de 2019 es por tanto el tercer presupuesto que se aprueba en el marco de esta importante herramienta de gestión y planificación, que viene a configurar la estrategia integral para el impulso del desarrollo socioeconómico de nuestra isla en los próximos años. </w:t>
      </w:r>
    </w:p>
    <w:p w:rsidR="00FD5E6C" w:rsidRPr="00A10B4E" w:rsidRDefault="00FD5E6C" w:rsidP="00E93612">
      <w:pPr>
        <w:rPr>
          <w:color w:val="000000"/>
          <w:sz w:val="20"/>
          <w:szCs w:val="20"/>
        </w:rPr>
      </w:pPr>
      <w:r w:rsidRPr="00A10B4E">
        <w:rPr>
          <w:color w:val="000000"/>
          <w:sz w:val="20"/>
          <w:szCs w:val="20"/>
        </w:rPr>
        <w:t xml:space="preserve">Un ambicioso proyecto que comienza a dar sus frutos y que tiene un horizonte temporal que garantiza su correcto cumplimiento. Se ha previsto una gestión con perspectiva estratégica y consensuada con los ayuntamientos que conforman la Isla de manera participativa, transparente y eficaz. </w:t>
      </w:r>
    </w:p>
    <w:p w:rsidR="00FD5E6C" w:rsidRPr="00A10B4E" w:rsidRDefault="00FD5E6C" w:rsidP="00E93612">
      <w:pPr>
        <w:rPr>
          <w:color w:val="000000"/>
          <w:sz w:val="20"/>
          <w:szCs w:val="20"/>
        </w:rPr>
      </w:pPr>
      <w:r w:rsidRPr="00A10B4E">
        <w:rPr>
          <w:color w:val="000000"/>
          <w:sz w:val="20"/>
          <w:szCs w:val="20"/>
        </w:rPr>
        <w:t>El MEDI es la concreción de la política insular, comprometida con una ciudadanía que demanda oportunidades de empleo, mejoras en el conocimiento, la innovación (I+D+I) y nuevas infraestructuras que favorezcan un desarrollo equilibrado y sostenible en todo el territorio. Con una inversión media anual superior a los 230 millones de euros, (269 millones  en 2019), constituye uno de nuestros mayores esfuerzos económicos, canalizado a través de 5 ejes y 36 programas de actuación. Un compromiso al que llegamos al comienzo de la legislatura, que nos ha brindado la oportunidad de diseñar el mejor futuro para nuestra isla, englobando las grandes líneas de inversión definidas en los diferentes Planes de las distintas áreas de esta Institución.</w:t>
      </w:r>
    </w:p>
    <w:p w:rsidR="00FD5E6C" w:rsidRPr="00A10B4E" w:rsidRDefault="00FD5E6C" w:rsidP="00E93612">
      <w:pPr>
        <w:ind w:right="-32"/>
        <w:rPr>
          <w:sz w:val="20"/>
          <w:szCs w:val="20"/>
        </w:rPr>
      </w:pPr>
      <w:r w:rsidRPr="00A10B4E">
        <w:rPr>
          <w:sz w:val="20"/>
          <w:szCs w:val="20"/>
        </w:rPr>
        <w:t>Los cinco ejes del MEDI desarrollan las prioridades que la Corporación ha definido como estratégicas para impulsar económica y socialmente a la isla:</w:t>
      </w:r>
    </w:p>
    <w:p w:rsidR="00FD5E6C" w:rsidRPr="00A10B4E" w:rsidRDefault="00FD5E6C" w:rsidP="00A10B4E">
      <w:pPr>
        <w:ind w:right="-32"/>
        <w:rPr>
          <w:sz w:val="20"/>
          <w:szCs w:val="20"/>
        </w:rPr>
      </w:pPr>
    </w:p>
    <w:tbl>
      <w:tblPr>
        <w:tblW w:w="5000" w:type="pct"/>
        <w:tblInd w:w="-106" w:type="dxa"/>
        <w:tblLook w:val="00A0"/>
      </w:tblPr>
      <w:tblGrid>
        <w:gridCol w:w="2398"/>
        <w:gridCol w:w="242"/>
        <w:gridCol w:w="6080"/>
      </w:tblGrid>
      <w:tr w:rsidR="00FD5E6C" w:rsidRPr="00A10B4E">
        <w:trPr>
          <w:trHeight w:val="486"/>
        </w:trPr>
        <w:tc>
          <w:tcPr>
            <w:tcW w:w="1375" w:type="pct"/>
            <w:tcBorders>
              <w:bottom w:val="single" w:sz="4" w:space="0" w:color="808080"/>
            </w:tcBorders>
            <w:shd w:val="clear" w:color="auto" w:fill="F2F2F2"/>
            <w:vAlign w:val="center"/>
          </w:tcPr>
          <w:p w:rsidR="00FD5E6C" w:rsidRPr="00A10B4E" w:rsidRDefault="00FD5E6C" w:rsidP="00A10B4E">
            <w:pPr>
              <w:spacing w:before="0"/>
              <w:ind w:right="-32"/>
              <w:rPr>
                <w:b/>
                <w:bCs/>
                <w:sz w:val="20"/>
                <w:szCs w:val="20"/>
              </w:rPr>
            </w:pPr>
            <w:r w:rsidRPr="00A10B4E">
              <w:rPr>
                <w:b/>
                <w:bCs/>
                <w:sz w:val="20"/>
                <w:szCs w:val="20"/>
              </w:rPr>
              <w:t>EJES ESTRATÉGICOS</w:t>
            </w:r>
          </w:p>
        </w:tc>
        <w:tc>
          <w:tcPr>
            <w:tcW w:w="139" w:type="pct"/>
            <w:vAlign w:val="center"/>
          </w:tcPr>
          <w:p w:rsidR="00FD5E6C" w:rsidRPr="00A10B4E" w:rsidRDefault="00FD5E6C" w:rsidP="00A10B4E">
            <w:pPr>
              <w:spacing w:before="0"/>
              <w:ind w:left="317" w:right="-32"/>
              <w:rPr>
                <w:b/>
                <w:bCs/>
                <w:sz w:val="20"/>
                <w:szCs w:val="20"/>
              </w:rPr>
            </w:pPr>
          </w:p>
        </w:tc>
        <w:tc>
          <w:tcPr>
            <w:tcW w:w="3486" w:type="pct"/>
            <w:tcBorders>
              <w:bottom w:val="single" w:sz="4" w:space="0" w:color="808080"/>
            </w:tcBorders>
            <w:shd w:val="clear" w:color="auto" w:fill="F2F2F2"/>
            <w:vAlign w:val="center"/>
          </w:tcPr>
          <w:p w:rsidR="00FD5E6C" w:rsidRPr="00A10B4E" w:rsidRDefault="00FD5E6C" w:rsidP="00A10B4E">
            <w:pPr>
              <w:spacing w:before="0"/>
              <w:ind w:left="317" w:right="-32"/>
              <w:rPr>
                <w:b/>
                <w:bCs/>
                <w:sz w:val="20"/>
                <w:szCs w:val="20"/>
              </w:rPr>
            </w:pPr>
            <w:r w:rsidRPr="00A10B4E">
              <w:rPr>
                <w:b/>
                <w:bCs/>
                <w:sz w:val="20"/>
                <w:szCs w:val="20"/>
              </w:rPr>
              <w:t>DESCRIPCIÓN</w:t>
            </w:r>
          </w:p>
        </w:tc>
      </w:tr>
      <w:tr w:rsidR="00FD5E6C" w:rsidRPr="00A10B4E">
        <w:trPr>
          <w:trHeight w:val="1658"/>
        </w:trPr>
        <w:tc>
          <w:tcPr>
            <w:tcW w:w="1375" w:type="pct"/>
            <w:tcBorders>
              <w:top w:val="single" w:sz="4" w:space="0" w:color="808080"/>
            </w:tcBorders>
            <w:shd w:val="clear" w:color="auto" w:fill="9B1E32"/>
            <w:vAlign w:val="center"/>
          </w:tcPr>
          <w:p w:rsidR="00FD5E6C" w:rsidRPr="00A10B4E" w:rsidRDefault="00FD5E6C" w:rsidP="00A10B4E">
            <w:pPr>
              <w:spacing w:before="0"/>
              <w:ind w:right="-32"/>
              <w:jc w:val="left"/>
              <w:rPr>
                <w:b/>
                <w:bCs/>
                <w:color w:val="FFFFFF"/>
                <w:sz w:val="20"/>
                <w:szCs w:val="20"/>
              </w:rPr>
            </w:pPr>
            <w:r w:rsidRPr="00A10B4E">
              <w:rPr>
                <w:b/>
                <w:bCs/>
                <w:color w:val="FFFFFF"/>
                <w:sz w:val="20"/>
                <w:szCs w:val="20"/>
              </w:rPr>
              <w:t>EJE 1: TENERIFE 2030</w:t>
            </w:r>
          </w:p>
        </w:tc>
        <w:tc>
          <w:tcPr>
            <w:tcW w:w="139" w:type="pct"/>
          </w:tcPr>
          <w:p w:rsidR="00FD5E6C" w:rsidRPr="00A10B4E" w:rsidRDefault="00FD5E6C" w:rsidP="00A10B4E">
            <w:pPr>
              <w:spacing w:before="0"/>
              <w:ind w:left="317" w:right="-32"/>
              <w:rPr>
                <w:sz w:val="20"/>
                <w:szCs w:val="20"/>
              </w:rPr>
            </w:pPr>
          </w:p>
        </w:tc>
        <w:tc>
          <w:tcPr>
            <w:tcW w:w="3486" w:type="pct"/>
            <w:tcBorders>
              <w:top w:val="single" w:sz="4" w:space="0" w:color="808080"/>
              <w:bottom w:val="single" w:sz="4" w:space="0" w:color="9B1E32"/>
            </w:tcBorders>
            <w:vAlign w:val="center"/>
          </w:tcPr>
          <w:p w:rsidR="00FD5E6C" w:rsidRPr="00A10B4E" w:rsidRDefault="00FD5E6C" w:rsidP="00A10B4E">
            <w:pPr>
              <w:spacing w:before="0"/>
              <w:ind w:left="34" w:right="-32"/>
              <w:rPr>
                <w:sz w:val="20"/>
                <w:szCs w:val="20"/>
              </w:rPr>
            </w:pPr>
            <w:r w:rsidRPr="00A10B4E">
              <w:rPr>
                <w:sz w:val="20"/>
                <w:szCs w:val="20"/>
              </w:rPr>
              <w:t>La Educación, la Cultura, la Innovación y el Deporte son claves para el desarrollo y la sostenibilidad económica y social de la isla. El eje Tenerife 2030 recoge los objetivos, programas y líneas de actuación en los ámbitos ligados a la formación, capacitación, innovación, emprendimiento, cultura, deporte y tecnología como pilares en el desarrollo personal y profesional de la ciudadanía de la isla.</w:t>
            </w:r>
          </w:p>
        </w:tc>
      </w:tr>
      <w:tr w:rsidR="00FD5E6C" w:rsidRPr="00A10B4E">
        <w:trPr>
          <w:trHeight w:val="1399"/>
        </w:trPr>
        <w:tc>
          <w:tcPr>
            <w:tcW w:w="1375" w:type="pct"/>
            <w:shd w:val="clear" w:color="auto" w:fill="E68741"/>
            <w:vAlign w:val="center"/>
          </w:tcPr>
          <w:p w:rsidR="00FD5E6C" w:rsidRPr="00A10B4E" w:rsidRDefault="00FD5E6C" w:rsidP="00A10B4E">
            <w:pPr>
              <w:spacing w:before="0"/>
              <w:ind w:right="-32"/>
              <w:jc w:val="left"/>
              <w:rPr>
                <w:b/>
                <w:bCs/>
                <w:color w:val="FFFFFF"/>
                <w:sz w:val="20"/>
                <w:szCs w:val="20"/>
              </w:rPr>
            </w:pPr>
            <w:r w:rsidRPr="00A10B4E">
              <w:rPr>
                <w:b/>
                <w:bCs/>
                <w:color w:val="FFFFFF"/>
                <w:sz w:val="20"/>
                <w:szCs w:val="20"/>
              </w:rPr>
              <w:t>EJE 2: ACCIÓN SOCIAL</w:t>
            </w:r>
          </w:p>
        </w:tc>
        <w:tc>
          <w:tcPr>
            <w:tcW w:w="139" w:type="pct"/>
          </w:tcPr>
          <w:p w:rsidR="00FD5E6C" w:rsidRPr="00A10B4E" w:rsidRDefault="00FD5E6C" w:rsidP="00A10B4E">
            <w:pPr>
              <w:spacing w:before="0"/>
              <w:ind w:left="317" w:right="-32"/>
              <w:rPr>
                <w:sz w:val="20"/>
                <w:szCs w:val="20"/>
              </w:rPr>
            </w:pPr>
          </w:p>
        </w:tc>
        <w:tc>
          <w:tcPr>
            <w:tcW w:w="3486" w:type="pct"/>
            <w:tcBorders>
              <w:top w:val="single" w:sz="4" w:space="0" w:color="9B1E32"/>
              <w:bottom w:val="single" w:sz="4" w:space="0" w:color="E68741"/>
            </w:tcBorders>
            <w:vAlign w:val="center"/>
          </w:tcPr>
          <w:p w:rsidR="00FD5E6C" w:rsidRPr="00A10B4E" w:rsidRDefault="00FD5E6C" w:rsidP="00A10B4E">
            <w:pPr>
              <w:spacing w:before="0"/>
              <w:ind w:left="34" w:right="-32"/>
              <w:rPr>
                <w:sz w:val="20"/>
                <w:szCs w:val="20"/>
              </w:rPr>
            </w:pPr>
            <w:r w:rsidRPr="00A10B4E">
              <w:rPr>
                <w:sz w:val="20"/>
                <w:szCs w:val="20"/>
              </w:rPr>
              <w:t>Este eje tiene como protagonista a las personas y, en particular, a aquellos colectivos que, por razones de edad, género, enfermedad o discapacidad requieren de una especial atención. Como prioridades del Eje de Acción Social están, entre otras, la atención a la dependencia o cooperar para facilitar el acceso a una vivienda digna.</w:t>
            </w:r>
          </w:p>
        </w:tc>
      </w:tr>
      <w:tr w:rsidR="00FD5E6C" w:rsidRPr="00A10B4E">
        <w:trPr>
          <w:trHeight w:val="1451"/>
        </w:trPr>
        <w:tc>
          <w:tcPr>
            <w:tcW w:w="1375" w:type="pct"/>
            <w:shd w:val="clear" w:color="auto" w:fill="327D73"/>
            <w:vAlign w:val="center"/>
          </w:tcPr>
          <w:p w:rsidR="00FD5E6C" w:rsidRPr="00A10B4E" w:rsidRDefault="00FD5E6C" w:rsidP="00A10B4E">
            <w:pPr>
              <w:spacing w:before="0"/>
              <w:ind w:right="-32"/>
              <w:jc w:val="left"/>
              <w:rPr>
                <w:b/>
                <w:bCs/>
                <w:color w:val="FFFFFF"/>
                <w:sz w:val="20"/>
                <w:szCs w:val="20"/>
              </w:rPr>
            </w:pPr>
            <w:r w:rsidRPr="00A10B4E">
              <w:rPr>
                <w:b/>
                <w:bCs/>
                <w:color w:val="FFFFFF"/>
                <w:sz w:val="20"/>
                <w:szCs w:val="20"/>
              </w:rPr>
              <w:t>EJE 3: INFRAESTRUCTURAS</w:t>
            </w:r>
          </w:p>
        </w:tc>
        <w:tc>
          <w:tcPr>
            <w:tcW w:w="139" w:type="pct"/>
          </w:tcPr>
          <w:p w:rsidR="00FD5E6C" w:rsidRPr="00A10B4E" w:rsidRDefault="00FD5E6C" w:rsidP="00A10B4E">
            <w:pPr>
              <w:spacing w:before="0"/>
              <w:ind w:left="317" w:right="-32"/>
              <w:rPr>
                <w:sz w:val="20"/>
                <w:szCs w:val="20"/>
              </w:rPr>
            </w:pPr>
          </w:p>
        </w:tc>
        <w:tc>
          <w:tcPr>
            <w:tcW w:w="3486" w:type="pct"/>
            <w:tcBorders>
              <w:top w:val="single" w:sz="4" w:space="0" w:color="E68741"/>
              <w:bottom w:val="single" w:sz="4" w:space="0" w:color="327D73"/>
            </w:tcBorders>
            <w:vAlign w:val="center"/>
          </w:tcPr>
          <w:p w:rsidR="00FD5E6C" w:rsidRPr="00A10B4E" w:rsidRDefault="00FD5E6C" w:rsidP="00A10B4E">
            <w:pPr>
              <w:spacing w:before="0"/>
              <w:ind w:left="34" w:right="-32"/>
              <w:rPr>
                <w:sz w:val="20"/>
                <w:szCs w:val="20"/>
              </w:rPr>
            </w:pPr>
            <w:r w:rsidRPr="00A10B4E">
              <w:rPr>
                <w:sz w:val="20"/>
                <w:szCs w:val="20"/>
              </w:rPr>
              <w:t>El funcionamiento de los sectores económicos, la generación de empleo, la calidad de vida urbana y la protección del medio requieren de la existencia y funcionalidad de una serie de infraestructuras básicas cuya distribución y cobertura propicie un desarrollo territorial equilibrado. A ello atienden los programas del eje de Infraestructuras.</w:t>
            </w:r>
          </w:p>
        </w:tc>
      </w:tr>
      <w:tr w:rsidR="00FD5E6C" w:rsidRPr="00A10B4E">
        <w:trPr>
          <w:trHeight w:val="1621"/>
        </w:trPr>
        <w:tc>
          <w:tcPr>
            <w:tcW w:w="1375" w:type="pct"/>
            <w:shd w:val="clear" w:color="auto" w:fill="8CBE50"/>
            <w:vAlign w:val="center"/>
          </w:tcPr>
          <w:p w:rsidR="00FD5E6C" w:rsidRPr="00A10B4E" w:rsidRDefault="00FD5E6C" w:rsidP="00A10B4E">
            <w:pPr>
              <w:spacing w:before="0"/>
              <w:ind w:right="-32"/>
              <w:jc w:val="left"/>
              <w:rPr>
                <w:b/>
                <w:bCs/>
                <w:color w:val="FFFFFF"/>
                <w:sz w:val="20"/>
                <w:szCs w:val="20"/>
              </w:rPr>
            </w:pPr>
            <w:r w:rsidRPr="00A10B4E">
              <w:rPr>
                <w:b/>
                <w:bCs/>
                <w:color w:val="FFFFFF"/>
                <w:sz w:val="20"/>
                <w:szCs w:val="20"/>
              </w:rPr>
              <w:t>EJE 4: EMPLEO Y SECTORES PRODUCTIVOS</w:t>
            </w:r>
          </w:p>
        </w:tc>
        <w:tc>
          <w:tcPr>
            <w:tcW w:w="139" w:type="pct"/>
          </w:tcPr>
          <w:p w:rsidR="00FD5E6C" w:rsidRPr="00A10B4E" w:rsidRDefault="00FD5E6C" w:rsidP="00A10B4E">
            <w:pPr>
              <w:spacing w:before="0"/>
              <w:ind w:left="317" w:right="-32"/>
              <w:rPr>
                <w:sz w:val="20"/>
                <w:szCs w:val="20"/>
              </w:rPr>
            </w:pPr>
          </w:p>
        </w:tc>
        <w:tc>
          <w:tcPr>
            <w:tcW w:w="3486" w:type="pct"/>
            <w:tcBorders>
              <w:top w:val="single" w:sz="4" w:space="0" w:color="327D73"/>
              <w:bottom w:val="single" w:sz="4" w:space="0" w:color="8CBE50"/>
            </w:tcBorders>
            <w:vAlign w:val="center"/>
          </w:tcPr>
          <w:p w:rsidR="00FD5E6C" w:rsidRPr="00A10B4E" w:rsidRDefault="00FD5E6C" w:rsidP="00A10B4E">
            <w:pPr>
              <w:spacing w:before="0"/>
              <w:ind w:left="34" w:right="-32"/>
              <w:rPr>
                <w:sz w:val="20"/>
                <w:szCs w:val="20"/>
              </w:rPr>
            </w:pPr>
            <w:r w:rsidRPr="00A10B4E">
              <w:rPr>
                <w:sz w:val="20"/>
                <w:szCs w:val="20"/>
              </w:rPr>
              <w:t>El desempleo es uno de los principales problemas que tiene Tenerife, resultado a su vez de las características del modelo y estructura productiva insular (empresas sin elevada dimensión, poca diversificación, etc.). El eje de Empleo y Sectores Productivos desarrolla y ejecuta de diferentes medidas que contribuyan potenciar los sectores productivos y facilitar la reinserción laboral de los parados.</w:t>
            </w:r>
          </w:p>
        </w:tc>
      </w:tr>
      <w:tr w:rsidR="00FD5E6C" w:rsidRPr="00A10B4E">
        <w:trPr>
          <w:trHeight w:val="1133"/>
        </w:trPr>
        <w:tc>
          <w:tcPr>
            <w:tcW w:w="1375" w:type="pct"/>
            <w:shd w:val="clear" w:color="auto" w:fill="DCBE37"/>
            <w:vAlign w:val="center"/>
          </w:tcPr>
          <w:p w:rsidR="00FD5E6C" w:rsidRPr="00A10B4E" w:rsidRDefault="00FD5E6C" w:rsidP="00A10B4E">
            <w:pPr>
              <w:spacing w:before="0"/>
              <w:ind w:right="-32"/>
              <w:jc w:val="left"/>
              <w:rPr>
                <w:b/>
                <w:bCs/>
                <w:color w:val="FFFFFF"/>
                <w:sz w:val="20"/>
                <w:szCs w:val="20"/>
              </w:rPr>
            </w:pPr>
            <w:r w:rsidRPr="00A10B4E">
              <w:rPr>
                <w:b/>
                <w:bCs/>
                <w:color w:val="FFFFFF"/>
                <w:sz w:val="20"/>
                <w:szCs w:val="20"/>
              </w:rPr>
              <w:t>EJE 5: SOSTENIBILIDAD Y MEDIO AMBIENTE</w:t>
            </w:r>
          </w:p>
        </w:tc>
        <w:tc>
          <w:tcPr>
            <w:tcW w:w="139" w:type="pct"/>
          </w:tcPr>
          <w:p w:rsidR="00FD5E6C" w:rsidRPr="00A10B4E" w:rsidRDefault="00FD5E6C" w:rsidP="00A10B4E">
            <w:pPr>
              <w:spacing w:before="0"/>
              <w:ind w:left="317" w:right="-32"/>
              <w:rPr>
                <w:sz w:val="20"/>
                <w:szCs w:val="20"/>
              </w:rPr>
            </w:pPr>
          </w:p>
        </w:tc>
        <w:tc>
          <w:tcPr>
            <w:tcW w:w="3486" w:type="pct"/>
            <w:tcBorders>
              <w:top w:val="single" w:sz="4" w:space="0" w:color="8CBE50"/>
              <w:bottom w:val="single" w:sz="4" w:space="0" w:color="DCBE37"/>
            </w:tcBorders>
            <w:vAlign w:val="center"/>
          </w:tcPr>
          <w:p w:rsidR="00FD5E6C" w:rsidRPr="00A10B4E" w:rsidRDefault="00FD5E6C" w:rsidP="00A10B4E">
            <w:pPr>
              <w:spacing w:before="0"/>
              <w:ind w:left="34" w:right="-32"/>
              <w:rPr>
                <w:sz w:val="20"/>
                <w:szCs w:val="20"/>
              </w:rPr>
            </w:pPr>
            <w:r w:rsidRPr="00A10B4E">
              <w:rPr>
                <w:sz w:val="20"/>
                <w:szCs w:val="20"/>
              </w:rPr>
              <w:t xml:space="preserve">El gran valor medioambiental de la isla es su gran riqueza, indispensable además para su principal industria, el turismo. El eje 5 de Sostenibilidad y Medioambiente busca el uso racional y sostenible del mismo, como principal forma de asegurar el desarrollo socioeconómico a largo plazo. </w:t>
            </w:r>
          </w:p>
        </w:tc>
      </w:tr>
    </w:tbl>
    <w:p w:rsidR="00FD5E6C" w:rsidRPr="00A10B4E" w:rsidRDefault="00FD5E6C" w:rsidP="00A10B4E">
      <w:pPr>
        <w:spacing w:before="0" w:line="240" w:lineRule="auto"/>
        <w:ind w:right="0"/>
        <w:rPr>
          <w:sz w:val="20"/>
          <w:szCs w:val="20"/>
        </w:rPr>
      </w:pPr>
    </w:p>
    <w:p w:rsidR="00FD5E6C" w:rsidRPr="00A10B4E" w:rsidRDefault="00FD5E6C" w:rsidP="00E93612">
      <w:pPr>
        <w:ind w:right="-32"/>
        <w:rPr>
          <w:sz w:val="20"/>
          <w:szCs w:val="20"/>
        </w:rPr>
      </w:pPr>
      <w:r w:rsidRPr="00A10B4E">
        <w:rPr>
          <w:sz w:val="20"/>
          <w:szCs w:val="20"/>
        </w:rPr>
        <w:t>Los objetivos estratégicos del MEDI están estrechamente vinculados a la creación de empleo (Eje 3 y 4), la disminución de los niveles de pobreza y riesgo de exclusión social (Eje 2 y 4), la mejora de las habilidades y capacidades de las personas (Eje 1 y 4), la sostenibilidad y el medioambiente (Eje 5)  y la vertebración territorial (todo el MEDI, y en especial el Eje 3). Son objetivos que comparte en parte con la estrategia Europa2020 de la UE, los objetivos de desarrollo sostenible (ODS) de la Agenda 2030 de la ONU, y los objetivos de la política de desarrollo inteligente RIS3 de UE y Canarias.</w:t>
      </w:r>
    </w:p>
    <w:p w:rsidR="00FD5E6C" w:rsidRPr="00A10B4E" w:rsidRDefault="00FD5E6C" w:rsidP="00A10B4E">
      <w:pPr>
        <w:spacing w:before="0" w:line="240" w:lineRule="auto"/>
        <w:ind w:right="0"/>
        <w:rPr>
          <w:sz w:val="20"/>
          <w:szCs w:val="20"/>
        </w:rPr>
      </w:pPr>
    </w:p>
    <w:p w:rsidR="00FD5E6C" w:rsidRPr="00A10B4E" w:rsidRDefault="00FD5E6C" w:rsidP="00A10B4E">
      <w:pPr>
        <w:spacing w:before="0" w:line="240" w:lineRule="auto"/>
        <w:ind w:right="0"/>
        <w:rPr>
          <w:sz w:val="20"/>
          <w:szCs w:val="20"/>
        </w:rPr>
      </w:pPr>
      <w:r w:rsidRPr="006963C9">
        <w:rPr>
          <w:noProof/>
          <w:sz w:val="20"/>
          <w:szCs w:val="20"/>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94" o:spid="_x0000_i1025" type="#_x0000_t75" style="width:418.2pt;height:153.6pt;visibility:visible">
            <v:imagedata r:id="rId5" o:title=""/>
          </v:shape>
        </w:pict>
      </w:r>
    </w:p>
    <w:p w:rsidR="00FD5E6C" w:rsidRPr="00A10B4E" w:rsidRDefault="00FD5E6C" w:rsidP="00A10B4E">
      <w:pPr>
        <w:spacing w:before="0" w:line="240" w:lineRule="auto"/>
        <w:ind w:right="0"/>
        <w:rPr>
          <w:sz w:val="20"/>
          <w:szCs w:val="20"/>
        </w:rPr>
      </w:pPr>
    </w:p>
    <w:p w:rsidR="00FD5E6C" w:rsidRPr="00A10B4E" w:rsidRDefault="00FD5E6C" w:rsidP="00A10B4E">
      <w:pPr>
        <w:spacing w:before="0" w:line="240" w:lineRule="auto"/>
        <w:ind w:right="0"/>
        <w:rPr>
          <w:sz w:val="20"/>
          <w:szCs w:val="20"/>
        </w:rPr>
      </w:pPr>
    </w:p>
    <w:p w:rsidR="00FD5E6C" w:rsidRPr="00A10B4E" w:rsidRDefault="00FD5E6C" w:rsidP="00E93612">
      <w:pPr>
        <w:ind w:right="-32"/>
        <w:rPr>
          <w:sz w:val="20"/>
          <w:szCs w:val="20"/>
        </w:rPr>
      </w:pPr>
      <w:r w:rsidRPr="00A10B4E">
        <w:rPr>
          <w:sz w:val="20"/>
          <w:szCs w:val="20"/>
        </w:rPr>
        <w:t xml:space="preserve">La incorporación de </w:t>
      </w:r>
      <w:r w:rsidRPr="00A10B4E">
        <w:rPr>
          <w:b/>
          <w:bCs/>
          <w:sz w:val="20"/>
          <w:szCs w:val="20"/>
        </w:rPr>
        <w:t>cláusulas sociales y medioambientales</w:t>
      </w:r>
      <w:r w:rsidRPr="00A10B4E">
        <w:rPr>
          <w:sz w:val="20"/>
          <w:szCs w:val="20"/>
        </w:rPr>
        <w:t xml:space="preserve"> en la contratación pública con fondos MEDI, se plantea como  herramienta eficaz en la consecución de dichos objetivos. Dichas cláusulas se incorporarán a toda la contratación pública del Cabildo Insular de Tenerife y su sector público.</w:t>
      </w:r>
    </w:p>
    <w:p w:rsidR="00FD5E6C" w:rsidRPr="00A10B4E" w:rsidRDefault="00FD5E6C" w:rsidP="00A10B4E">
      <w:pPr>
        <w:spacing w:before="0" w:line="240" w:lineRule="auto"/>
        <w:ind w:right="0"/>
        <w:rPr>
          <w:sz w:val="20"/>
          <w:szCs w:val="20"/>
        </w:rPr>
      </w:pPr>
    </w:p>
    <w:p w:rsidR="00FD5E6C" w:rsidRPr="00A10B4E" w:rsidRDefault="00FD5E6C" w:rsidP="00A10B4E">
      <w:pPr>
        <w:spacing w:before="0" w:line="240" w:lineRule="auto"/>
        <w:ind w:right="0"/>
        <w:rPr>
          <w:sz w:val="20"/>
          <w:szCs w:val="20"/>
        </w:rPr>
      </w:pPr>
    </w:p>
    <w:p w:rsidR="00FD5E6C" w:rsidRPr="00A10B4E" w:rsidRDefault="00FD5E6C" w:rsidP="00E93612">
      <w:pPr>
        <w:spacing w:before="0" w:line="240" w:lineRule="auto"/>
        <w:ind w:right="0"/>
        <w:rPr>
          <w:sz w:val="20"/>
          <w:szCs w:val="20"/>
        </w:rPr>
      </w:pPr>
      <w:r w:rsidRPr="00A10B4E">
        <w:rPr>
          <w:sz w:val="20"/>
          <w:szCs w:val="20"/>
        </w:rPr>
        <w:t xml:space="preserve">Si bien el Presupuesto contiene políticas fundamentales para el desarrollo insular en cada uno de los cinco Ejes citados, se ha de destacar en 2019 la importancia cuantitativa y cualitativa de las actuaciones de </w:t>
      </w:r>
      <w:r w:rsidRPr="00A10B4E">
        <w:rPr>
          <w:b/>
          <w:bCs/>
          <w:sz w:val="20"/>
          <w:szCs w:val="20"/>
        </w:rPr>
        <w:t>servicios sociales y promoción social</w:t>
      </w:r>
      <w:r w:rsidRPr="00A10B4E">
        <w:rPr>
          <w:sz w:val="20"/>
          <w:szCs w:val="20"/>
        </w:rPr>
        <w:t xml:space="preserve">, que incrementan su presupuesto en un </w:t>
      </w:r>
      <w:r w:rsidRPr="00A10B4E">
        <w:rPr>
          <w:b/>
          <w:bCs/>
          <w:sz w:val="20"/>
          <w:szCs w:val="20"/>
        </w:rPr>
        <w:t>20,5 %</w:t>
      </w:r>
      <w:r w:rsidRPr="00A10B4E">
        <w:rPr>
          <w:sz w:val="20"/>
          <w:szCs w:val="20"/>
        </w:rPr>
        <w:t xml:space="preserve"> (en 2018 ya lo hicieron en un 20%), y las vinculadas a </w:t>
      </w:r>
      <w:r w:rsidRPr="00A10B4E">
        <w:rPr>
          <w:b/>
          <w:bCs/>
          <w:sz w:val="20"/>
          <w:szCs w:val="20"/>
        </w:rPr>
        <w:t>movilidad</w:t>
      </w:r>
      <w:r w:rsidRPr="00A10B4E">
        <w:rPr>
          <w:sz w:val="20"/>
          <w:szCs w:val="20"/>
        </w:rPr>
        <w:t xml:space="preserve"> (transporte público) con un crecimiento del </w:t>
      </w:r>
      <w:r w:rsidRPr="00A10B4E">
        <w:rPr>
          <w:b/>
          <w:bCs/>
          <w:sz w:val="20"/>
          <w:szCs w:val="20"/>
        </w:rPr>
        <w:t>22,7%,</w:t>
      </w:r>
      <w:r w:rsidRPr="00A10B4E">
        <w:rPr>
          <w:sz w:val="20"/>
          <w:szCs w:val="20"/>
        </w:rPr>
        <w:t xml:space="preserve"> lo cual es factible gracias a la estrategia presupuestaria de estos últimos años donde, por un lado, se han desarrollado un importante conjunto de inversiones financieramente sostenibles y, por otro, se ha generado un importante ahorro por la minoración extraordinaria de deuda, lo que permite la incorporación de un volumen adicional de recursos para dichos fines.</w:t>
      </w:r>
    </w:p>
    <w:p w:rsidR="00FD5E6C" w:rsidRPr="00A10B4E" w:rsidRDefault="00FD5E6C" w:rsidP="00A10B4E">
      <w:pPr>
        <w:spacing w:before="0" w:line="240" w:lineRule="auto"/>
        <w:ind w:right="0"/>
        <w:rPr>
          <w:sz w:val="20"/>
          <w:szCs w:val="20"/>
        </w:rPr>
      </w:pPr>
    </w:p>
    <w:p w:rsidR="00FD5E6C" w:rsidRPr="00A10B4E" w:rsidRDefault="00FD5E6C" w:rsidP="00E93612">
      <w:pPr>
        <w:spacing w:before="0" w:line="240" w:lineRule="auto"/>
        <w:ind w:right="0"/>
        <w:rPr>
          <w:sz w:val="20"/>
          <w:szCs w:val="20"/>
        </w:rPr>
      </w:pPr>
      <w:r w:rsidRPr="00A10B4E">
        <w:rPr>
          <w:sz w:val="20"/>
          <w:szCs w:val="20"/>
        </w:rPr>
        <w:t xml:space="preserve">Se continúa, no obstante, con el esfuerzo en actuaciones de carácter económico, centradas muy especialmente en la estrategia Tenerife 2030, un programa integral que apuesta por el valor de las personas como motor del desarrollo, centrando sus acciones en mejorar las capacidades (especialmente de </w:t>
      </w:r>
      <w:bookmarkStart w:id="0" w:name="_GoBack"/>
      <w:bookmarkEnd w:id="0"/>
      <w:r w:rsidRPr="00A10B4E">
        <w:rPr>
          <w:sz w:val="20"/>
          <w:szCs w:val="20"/>
        </w:rPr>
        <w:t xml:space="preserve">los jóvenes) en una serie de disciplinas y habilidades que permitan, con ese horizonte temporal del año 2030, crear una estructura socio económica que aporte mayores y mejores oportunidades de empleo. </w:t>
      </w:r>
    </w:p>
    <w:p w:rsidR="00FD5E6C" w:rsidRPr="00A10B4E" w:rsidRDefault="00FD5E6C" w:rsidP="00A10B4E">
      <w:pPr>
        <w:spacing w:before="0" w:line="240" w:lineRule="auto"/>
        <w:ind w:right="0"/>
        <w:rPr>
          <w:sz w:val="20"/>
          <w:szCs w:val="20"/>
        </w:rPr>
      </w:pPr>
    </w:p>
    <w:p w:rsidR="00FD5E6C" w:rsidRPr="00A10B4E" w:rsidRDefault="00FD5E6C" w:rsidP="00E93612">
      <w:pPr>
        <w:spacing w:before="0" w:line="240" w:lineRule="auto"/>
        <w:ind w:right="0"/>
        <w:rPr>
          <w:sz w:val="20"/>
          <w:szCs w:val="20"/>
        </w:rPr>
      </w:pPr>
      <w:r w:rsidRPr="00A10B4E">
        <w:rPr>
          <w:sz w:val="20"/>
          <w:szCs w:val="20"/>
        </w:rPr>
        <w:t xml:space="preserve">De igual manera continua la inversión en infraestructuras y la mejora de los servicios, así como las actuaciones en materia de </w:t>
      </w:r>
      <w:r w:rsidRPr="00A10B4E">
        <w:rPr>
          <w:b/>
          <w:bCs/>
          <w:sz w:val="20"/>
          <w:szCs w:val="20"/>
        </w:rPr>
        <w:t>empleo</w:t>
      </w:r>
      <w:r w:rsidRPr="00A10B4E">
        <w:rPr>
          <w:sz w:val="20"/>
          <w:szCs w:val="20"/>
        </w:rPr>
        <w:t xml:space="preserve">, aspecto este prioritario y sobre el que giran todas las políticas de esta Corporación, base todo ello para facilitar el acceso igualitario a las nuevas oportunidades creadas, en condiciones más favorables y que incidan en una mejor distribución de la renta, en la línea defendida por esta Corporación en el denominado </w:t>
      </w:r>
      <w:r w:rsidRPr="00A10B4E">
        <w:rPr>
          <w:b/>
          <w:bCs/>
          <w:sz w:val="20"/>
          <w:szCs w:val="20"/>
        </w:rPr>
        <w:t>Pacto de Rentas</w:t>
      </w:r>
      <w:r>
        <w:rPr>
          <w:sz w:val="20"/>
          <w:szCs w:val="20"/>
        </w:rPr>
        <w:t>.</w:t>
      </w:r>
    </w:p>
    <w:p w:rsidR="00FD5E6C" w:rsidRPr="00A10B4E" w:rsidRDefault="00FD5E6C" w:rsidP="00A10B4E">
      <w:pPr>
        <w:spacing w:before="0" w:line="240" w:lineRule="auto"/>
        <w:ind w:right="0"/>
        <w:rPr>
          <w:sz w:val="20"/>
          <w:szCs w:val="20"/>
        </w:rPr>
      </w:pPr>
    </w:p>
    <w:p w:rsidR="00FD5E6C" w:rsidRPr="00A10B4E" w:rsidRDefault="00FD5E6C" w:rsidP="00E93612">
      <w:pPr>
        <w:spacing w:before="0" w:line="240" w:lineRule="auto"/>
        <w:ind w:right="0"/>
        <w:rPr>
          <w:sz w:val="20"/>
          <w:szCs w:val="20"/>
        </w:rPr>
      </w:pPr>
      <w:r w:rsidRPr="00A10B4E">
        <w:rPr>
          <w:sz w:val="20"/>
          <w:szCs w:val="20"/>
        </w:rPr>
        <w:t>El Presupuesto General así conformado vela a su vez por la coherencia con la evolución de las magnitudes económicas que presenta el conjunto de la economía tinerfeña y, de forma especialmente exigente con el cumplimiento de los principios de estabilidad presupuestaria, regla de gasto, período medio de pago a proveedores y sostenibilidad financiera.</w:t>
      </w:r>
    </w:p>
    <w:p w:rsidR="00FD5E6C" w:rsidRPr="00A10B4E" w:rsidRDefault="00FD5E6C" w:rsidP="00A10B4E">
      <w:pPr>
        <w:spacing w:before="0" w:line="240" w:lineRule="auto"/>
        <w:ind w:right="0"/>
        <w:rPr>
          <w:sz w:val="20"/>
          <w:szCs w:val="20"/>
        </w:rPr>
      </w:pPr>
    </w:p>
    <w:p w:rsidR="00FD5E6C" w:rsidRPr="00A10B4E" w:rsidRDefault="00FD5E6C" w:rsidP="00E93612">
      <w:pPr>
        <w:spacing w:before="0" w:line="240" w:lineRule="auto"/>
        <w:ind w:right="0"/>
        <w:rPr>
          <w:sz w:val="20"/>
          <w:szCs w:val="20"/>
        </w:rPr>
      </w:pPr>
      <w:r w:rsidRPr="00A10B4E">
        <w:rPr>
          <w:sz w:val="20"/>
          <w:szCs w:val="20"/>
        </w:rPr>
        <w:t>Por último, se ha de destacar además que dicho Marco se vincula de forma directa a los objetivos específicos descritos en el artículo 7 del Decreto 85/2016, de 4 de julio, que regula el fondo de Desarrollo de Canarias (FDCAN) 2016-2025:</w:t>
      </w:r>
    </w:p>
    <w:p w:rsidR="00FD5E6C" w:rsidRPr="00A10B4E" w:rsidRDefault="00FD5E6C" w:rsidP="00A10B4E">
      <w:pPr>
        <w:spacing w:before="0" w:line="240" w:lineRule="auto"/>
        <w:ind w:right="0"/>
        <w:rPr>
          <w:sz w:val="20"/>
          <w:szCs w:val="20"/>
        </w:rPr>
      </w:pPr>
    </w:p>
    <w:p w:rsidR="00FD5E6C" w:rsidRPr="00A10B4E" w:rsidRDefault="00FD5E6C" w:rsidP="00E93612">
      <w:pPr>
        <w:numPr>
          <w:ilvl w:val="0"/>
          <w:numId w:val="2"/>
        </w:numPr>
        <w:spacing w:before="0" w:line="240" w:lineRule="auto"/>
        <w:ind w:right="0"/>
        <w:rPr>
          <w:sz w:val="20"/>
          <w:szCs w:val="20"/>
        </w:rPr>
      </w:pPr>
      <w:r w:rsidRPr="00A10B4E">
        <w:rPr>
          <w:sz w:val="20"/>
          <w:szCs w:val="20"/>
        </w:rPr>
        <w:t>Impacto de actuaciones sobre la mejora de la economía y el empleo</w:t>
      </w:r>
    </w:p>
    <w:p w:rsidR="00FD5E6C" w:rsidRPr="00A10B4E" w:rsidRDefault="00FD5E6C" w:rsidP="00E93612">
      <w:pPr>
        <w:numPr>
          <w:ilvl w:val="0"/>
          <w:numId w:val="2"/>
        </w:numPr>
        <w:spacing w:before="0" w:line="240" w:lineRule="auto"/>
        <w:ind w:right="0"/>
        <w:rPr>
          <w:sz w:val="20"/>
          <w:szCs w:val="20"/>
        </w:rPr>
      </w:pPr>
      <w:r w:rsidRPr="00A10B4E">
        <w:rPr>
          <w:sz w:val="20"/>
          <w:szCs w:val="20"/>
        </w:rPr>
        <w:t>Contribución de las acciones al cumplimiento de los indicadores del FDCAN</w:t>
      </w:r>
    </w:p>
    <w:p w:rsidR="00FD5E6C" w:rsidRPr="00A10B4E" w:rsidRDefault="00FD5E6C" w:rsidP="00E93612">
      <w:pPr>
        <w:numPr>
          <w:ilvl w:val="0"/>
          <w:numId w:val="2"/>
        </w:numPr>
        <w:spacing w:before="0" w:line="240" w:lineRule="auto"/>
        <w:ind w:right="0"/>
        <w:rPr>
          <w:sz w:val="20"/>
          <w:szCs w:val="20"/>
        </w:rPr>
      </w:pPr>
      <w:r w:rsidRPr="00A10B4E">
        <w:rPr>
          <w:sz w:val="20"/>
          <w:szCs w:val="20"/>
        </w:rPr>
        <w:t>Complementariedad de las acciones propuestas con otras intervenciones municipales, insulares, regionales, estatales o europeas.</w:t>
      </w:r>
    </w:p>
    <w:sectPr w:rsidR="00FD5E6C" w:rsidRPr="00A10B4E" w:rsidSect="00621E8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2A3E"/>
    <w:multiLevelType w:val="hybridMultilevel"/>
    <w:tmpl w:val="850C92D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nsid w:val="395521E9"/>
    <w:multiLevelType w:val="multilevel"/>
    <w:tmpl w:val="F080E7D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bCs/>
      </w:rPr>
    </w:lvl>
    <w:lvl w:ilvl="2">
      <w:start w:val="1"/>
      <w:numFmt w:val="decimal"/>
      <w:pStyle w:val="Heading3"/>
      <w:lvlText w:val="%1.%2.%3"/>
      <w:lvlJc w:val="left"/>
      <w:pPr>
        <w:ind w:left="2280" w:hanging="720"/>
      </w:pPr>
    </w:lvl>
    <w:lvl w:ilvl="3">
      <w:start w:val="1"/>
      <w:numFmt w:val="decimal"/>
      <w:pStyle w:val="Heading4"/>
      <w:lvlText w:val="%1.%2.%3.%4"/>
      <w:lvlJc w:val="left"/>
      <w:pPr>
        <w:ind w:left="864" w:hanging="864"/>
      </w:pPr>
      <w:rPr>
        <w:b w:val="0"/>
        <w:bCs w:val="0"/>
        <w:i w:val="0"/>
        <w:iCs w:val="0"/>
        <w:caps w:val="0"/>
        <w:smallCaps w:val="0"/>
        <w:strike w:val="0"/>
        <w:dstrike w:val="0"/>
        <w:vanish w:val="0"/>
        <w:color w:val="000000"/>
        <w:spacing w:val="0"/>
        <w:kern w:val="0"/>
        <w:position w:val="0"/>
        <w:u w:val="none"/>
        <w:vertAlign w:val="baseline"/>
      </w:rPr>
    </w:lvl>
    <w:lvl w:ilvl="4">
      <w:start w:val="1"/>
      <w:numFmt w:val="decimal"/>
      <w:pStyle w:val="Heading5"/>
      <w:lvlText w:val="%1.%2.%3.%4.%5"/>
      <w:lvlJc w:val="left"/>
      <w:pPr>
        <w:ind w:left="1008" w:hanging="1008"/>
      </w:pPr>
    </w:lvl>
    <w:lvl w:ilvl="5">
      <w:start w:val="1"/>
      <w:numFmt w:val="decimal"/>
      <w:pStyle w:val="Heading6"/>
      <w:lvlText w:val="%1.%2.%3.%4.%5.%6"/>
      <w:lvlJc w:val="left"/>
      <w:pPr>
        <w:ind w:left="4839" w:hanging="1152"/>
      </w:pPr>
      <w:rPr>
        <w:b w:val="0"/>
        <w:bCs w:val="0"/>
        <w:i w:val="0"/>
        <w:iCs w:val="0"/>
        <w:caps w:val="0"/>
        <w:smallCaps w:val="0"/>
        <w:strike w:val="0"/>
        <w:dstrike w:val="0"/>
        <w:vanish w:val="0"/>
        <w:color w:val="000000"/>
        <w:spacing w:val="0"/>
        <w:kern w:val="0"/>
        <w:position w:val="0"/>
        <w:u w:val="none"/>
        <w:effect w:val="none"/>
        <w:vertAlign w:val="baseline"/>
      </w:r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7DFE"/>
    <w:rsid w:val="00132070"/>
    <w:rsid w:val="00153292"/>
    <w:rsid w:val="001920CA"/>
    <w:rsid w:val="001A0698"/>
    <w:rsid w:val="001A51D3"/>
    <w:rsid w:val="002227D5"/>
    <w:rsid w:val="002B2E50"/>
    <w:rsid w:val="002F750C"/>
    <w:rsid w:val="00494163"/>
    <w:rsid w:val="004971DB"/>
    <w:rsid w:val="00565708"/>
    <w:rsid w:val="00621E87"/>
    <w:rsid w:val="00693976"/>
    <w:rsid w:val="006963C9"/>
    <w:rsid w:val="00740DB4"/>
    <w:rsid w:val="007C7DFE"/>
    <w:rsid w:val="008647E6"/>
    <w:rsid w:val="00A10B4E"/>
    <w:rsid w:val="00A2137B"/>
    <w:rsid w:val="00AA6636"/>
    <w:rsid w:val="00AB3A9A"/>
    <w:rsid w:val="00AD1DD0"/>
    <w:rsid w:val="00E93612"/>
    <w:rsid w:val="00F40C1F"/>
    <w:rsid w:val="00F728F4"/>
    <w:rsid w:val="00F83DBD"/>
    <w:rsid w:val="00FD5E6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C7DFE"/>
    <w:pPr>
      <w:spacing w:before="120" w:line="276" w:lineRule="auto"/>
      <w:ind w:right="-34"/>
      <w:jc w:val="both"/>
    </w:pPr>
    <w:rPr>
      <w:rFonts w:ascii="Arial" w:hAnsi="Arial" w:cs="Arial"/>
      <w:sz w:val="18"/>
      <w:szCs w:val="18"/>
      <w:lang w:eastAsia="en-US"/>
    </w:rPr>
  </w:style>
  <w:style w:type="paragraph" w:styleId="Heading1">
    <w:name w:val="heading 1"/>
    <w:aliases w:val="Headline 1,H1,h1,Hoofdstuk,Section Heading,A MAJOR/BOLD,Heading 1 CFMU,Para 1,l1,Head 1 (Chapter heading),Head 1,Head 11,Head 12,Head 111,Head 13,Head 112,Head 14,Head 113,Head 15,Head 114,Head 16,Head 115,Head 17,Head 116,Head 18,Head 117"/>
    <w:basedOn w:val="Normal"/>
    <w:next w:val="Normal"/>
    <w:link w:val="Heading1Char"/>
    <w:autoRedefine/>
    <w:uiPriority w:val="99"/>
    <w:qFormat/>
    <w:rsid w:val="00153292"/>
    <w:pPr>
      <w:keepNext/>
      <w:keepLines/>
      <w:numPr>
        <w:numId w:val="1"/>
      </w:numPr>
      <w:outlineLvl w:val="0"/>
    </w:pPr>
    <w:rPr>
      <w:rFonts w:eastAsia="Times New Roman"/>
      <w:b/>
      <w:bCs/>
      <w:sz w:val="28"/>
      <w:szCs w:val="28"/>
    </w:rPr>
  </w:style>
  <w:style w:type="paragraph" w:styleId="Heading2">
    <w:name w:val="heading 2"/>
    <w:aliases w:val="2m,h2,título 21,título 22,título 23,título 24,título 25,Titulo 2,H2-Heading 2,2,Header 2,l2,Header2,22,heading2,list2,H2,h 3,ICL 2,Heading 2a,Numbered - 2,h 4,ICL,kk,H21,H22,CHS,A,A.B.C.,list 2,Heading2,Heading Indent No L2,IC,título 2,chn"/>
    <w:basedOn w:val="Heading1"/>
    <w:next w:val="Normal"/>
    <w:link w:val="Heading2Char"/>
    <w:autoRedefine/>
    <w:uiPriority w:val="99"/>
    <w:qFormat/>
    <w:rsid w:val="00153292"/>
    <w:pPr>
      <w:numPr>
        <w:ilvl w:val="1"/>
      </w:numPr>
      <w:spacing w:before="240" w:line="240" w:lineRule="auto"/>
      <w:ind w:right="-32"/>
      <w:jc w:val="left"/>
      <w:outlineLvl w:val="1"/>
    </w:pPr>
    <w:rPr>
      <w:sz w:val="24"/>
      <w:szCs w:val="24"/>
    </w:rPr>
  </w:style>
  <w:style w:type="paragraph" w:styleId="Heading3">
    <w:name w:val="heading 3"/>
    <w:aliases w:val="H3,Headline 3,h3,h31,h32,H31,3,summit,3m,Paragraaf,head 3,header3,head 31,header31,head 32,header32,h33,head 33,header33,h311,head 311,header311,h321,head 321,header321,h34,head 34,header34,h312,head 312,header312,h322,head 322,header322,h331"/>
    <w:basedOn w:val="Normal"/>
    <w:next w:val="Normal"/>
    <w:link w:val="Heading3Char"/>
    <w:uiPriority w:val="99"/>
    <w:qFormat/>
    <w:rsid w:val="00153292"/>
    <w:pPr>
      <w:keepNext/>
      <w:keepLines/>
      <w:numPr>
        <w:ilvl w:val="2"/>
        <w:numId w:val="1"/>
      </w:numPr>
      <w:spacing w:before="240" w:after="240"/>
      <w:ind w:left="709" w:right="-32"/>
      <w:outlineLvl w:val="2"/>
    </w:pPr>
    <w:rPr>
      <w:rFonts w:eastAsia="Times New Roman"/>
      <w:b/>
      <w:bCs/>
      <w:sz w:val="22"/>
      <w:szCs w:val="22"/>
    </w:rPr>
  </w:style>
  <w:style w:type="paragraph" w:styleId="Heading4">
    <w:name w:val="heading 4"/>
    <w:aliases w:val="H4,h4,4,Propos,DNV-H4,h4 sub sub heading,Sub Sub Paragraph,Heading 4 CFMU,Para 4,chapitre 1.1.1.1,Contrat 4,Sub-paragraph,Heading 4(war),Map Title,head 4,h41,head 41,H41,h42,head 42,H42,h43,head 43,H43,h411,head 411,H411,h421,head 421,H421"/>
    <w:basedOn w:val="Heading3"/>
    <w:next w:val="Normal"/>
    <w:link w:val="Heading4Char"/>
    <w:autoRedefine/>
    <w:uiPriority w:val="99"/>
    <w:qFormat/>
    <w:rsid w:val="00153292"/>
    <w:pPr>
      <w:numPr>
        <w:ilvl w:val="3"/>
      </w:numPr>
      <w:spacing w:line="240" w:lineRule="auto"/>
      <w:ind w:left="851"/>
      <w:outlineLvl w:val="3"/>
    </w:pPr>
  </w:style>
  <w:style w:type="paragraph" w:styleId="Heading5">
    <w:name w:val="heading 5"/>
    <w:aliases w:val="Heading 5 CFMU,Para 5,h5,H5,Heading 5(war),DNV-H5,Block Label,Level 3 - i,DO NOT USE_h5,Tempo Heading 5,Punt 5,PARA5,PIM 5,Heading 5-1,Third Level Heading,h51,h52,Para5,5,1.1.1.1.1,mh2,Module heading 2,Numbered Sub-list,5 sub-bullet"/>
    <w:basedOn w:val="Normal"/>
    <w:next w:val="Normal"/>
    <w:link w:val="Heading5Char1"/>
    <w:uiPriority w:val="99"/>
    <w:qFormat/>
    <w:rsid w:val="00153292"/>
    <w:pPr>
      <w:keepNext/>
      <w:keepLines/>
      <w:numPr>
        <w:ilvl w:val="4"/>
        <w:numId w:val="1"/>
      </w:numPr>
      <w:spacing w:before="200" w:after="200"/>
      <w:outlineLvl w:val="4"/>
    </w:pPr>
    <w:rPr>
      <w:rFonts w:eastAsia="Times New Roman"/>
    </w:rPr>
  </w:style>
  <w:style w:type="paragraph" w:styleId="Heading6">
    <w:name w:val="heading 6"/>
    <w:aliases w:val="H6,6,Heading 6 CFMU,h6,DNV-H6,Legal Level 1.,H61,H62,H63,H64,H65,H66,H611,H621,H631,H641,H651,H67,H612,H622,H632,H642,H652,H68,H613,H623,H633,H643,H653,H69,H610,H614,H615,H624,H634,H644,H654,H616,H625,H635,H645,H655,H617,Title Page,Bijlage"/>
    <w:basedOn w:val="Normal"/>
    <w:next w:val="Normal"/>
    <w:link w:val="Heading6Char"/>
    <w:uiPriority w:val="99"/>
    <w:qFormat/>
    <w:rsid w:val="00153292"/>
    <w:pPr>
      <w:keepNext/>
      <w:keepLines/>
      <w:numPr>
        <w:ilvl w:val="5"/>
        <w:numId w:val="1"/>
      </w:numPr>
      <w:spacing w:before="200"/>
      <w:outlineLvl w:val="5"/>
    </w:pPr>
    <w:rPr>
      <w:rFonts w:eastAsia="Times New Roman"/>
      <w:i/>
      <w:iCs/>
    </w:rPr>
  </w:style>
  <w:style w:type="paragraph" w:styleId="Heading7">
    <w:name w:val="heading 7"/>
    <w:aliases w:val="Heading 7 CFMU,h7,DNV-H7,figure caption,Legal Level 1.1.,Lev 7,7,PA Appendix Major,Enumerate,letter list,lettered list,Appendix Level 1,Appendix Level 11,Appendix Level 12,st,T7,DO NOT USE,PIM 7,ExhibitTitle,Objective,heading7,req3,L7,cnc,h71"/>
    <w:basedOn w:val="Normal"/>
    <w:next w:val="Normal"/>
    <w:link w:val="Heading7Char"/>
    <w:uiPriority w:val="99"/>
    <w:qFormat/>
    <w:rsid w:val="00153292"/>
    <w:pPr>
      <w:keepNext/>
      <w:keepLines/>
      <w:numPr>
        <w:ilvl w:val="6"/>
        <w:numId w:val="1"/>
      </w:numPr>
      <w:spacing w:before="200"/>
      <w:outlineLvl w:val="6"/>
    </w:pPr>
    <w:rPr>
      <w:rFonts w:eastAsia="Times New Roman"/>
      <w:i/>
      <w:iCs/>
      <w:sz w:val="22"/>
      <w:szCs w:val="22"/>
    </w:rPr>
  </w:style>
  <w:style w:type="paragraph" w:styleId="Heading8">
    <w:name w:val="heading 8"/>
    <w:aliases w:val="Legal Level 1.1.1.,Lev 8,8,PA Appendix Minor,Subenumerate,(Appendici),tt,T8,8 DO NOT USE,FigureTitle,Condition,requirement,req2,req,Heading 8 (do not use),ctp,Caption text (page-wide),Center Bold,SzO-Título 8,SzO-Apéndice,h8,Vedlegg"/>
    <w:basedOn w:val="Normal"/>
    <w:next w:val="Normal"/>
    <w:link w:val="Heading8Char1"/>
    <w:uiPriority w:val="99"/>
    <w:qFormat/>
    <w:rsid w:val="00153292"/>
    <w:pPr>
      <w:keepNext/>
      <w:keepLines/>
      <w:numPr>
        <w:ilvl w:val="7"/>
        <w:numId w:val="1"/>
      </w:numPr>
      <w:spacing w:before="200"/>
      <w:outlineLvl w:val="7"/>
    </w:pPr>
    <w:rPr>
      <w:rFonts w:ascii="Cambria" w:eastAsia="Times New Roman" w:hAnsi="Cambria" w:cs="Cambria"/>
    </w:rPr>
  </w:style>
  <w:style w:type="paragraph" w:styleId="Heading9">
    <w:name w:val="heading 9"/>
    <w:aliases w:val="Heading 9.,9,App1,App Heading,Legal Level 1.1.1.1.,Doc Ref,(Bibliografia),Titre 10,ft,T9,- DO NOT USE,PIM 9,TableTitle,Cond'l Reqt.,rb,req bullet,req1,Appendix,Heading 9 (do not use),(appendix),ctc,Caption text (column-wide)"/>
    <w:basedOn w:val="Normal"/>
    <w:next w:val="Normal"/>
    <w:link w:val="Heading9Char"/>
    <w:uiPriority w:val="99"/>
    <w:qFormat/>
    <w:rsid w:val="00153292"/>
    <w:pPr>
      <w:keepNext/>
      <w:keepLines/>
      <w:numPr>
        <w:ilvl w:val="8"/>
        <w:numId w:val="1"/>
      </w:numPr>
      <w:spacing w:before="200"/>
      <w:outlineLvl w:val="8"/>
    </w:pPr>
    <w:rPr>
      <w:rFonts w:ascii="Cambria" w:eastAsia="Times New Roman" w:hAnsi="Cambria" w:cs="Cambria"/>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line 1 Char,H1 Char,h1 Char,Hoofdstuk Char,Section Heading Char,A MAJOR/BOLD Char,Heading 1 CFMU Char,Para 1 Char,l1 Char,Head 1 (Chapter heading) Char,Head 1 Char,Head 11 Char,Head 12 Char,Head 111 Char,Head 13 Char,Head 112 Char"/>
    <w:basedOn w:val="DefaultParagraphFont"/>
    <w:link w:val="Heading1"/>
    <w:uiPriority w:val="99"/>
    <w:locked/>
    <w:rsid w:val="00153292"/>
    <w:rPr>
      <w:rFonts w:ascii="Arial" w:hAnsi="Arial" w:cs="Arial"/>
      <w:b/>
      <w:bCs/>
      <w:sz w:val="28"/>
      <w:szCs w:val="28"/>
    </w:rPr>
  </w:style>
  <w:style w:type="character" w:customStyle="1" w:styleId="Heading2Char">
    <w:name w:val="Heading 2 Char"/>
    <w:aliases w:val="2m Char,h2 Char,título 21 Char,título 22 Char,título 23 Char,título 24 Char,título 25 Char,Titulo 2 Char,H2-Heading 2 Char,2 Char,Header 2 Char,l2 Char,Header2 Char,22 Char,heading2 Char,list2 Char,H2 Char,h 3 Char,ICL 2 Char,h 4 Char"/>
    <w:basedOn w:val="DefaultParagraphFont"/>
    <w:link w:val="Heading2"/>
    <w:uiPriority w:val="99"/>
    <w:locked/>
    <w:rsid w:val="00153292"/>
    <w:rPr>
      <w:rFonts w:ascii="Arial" w:hAnsi="Arial" w:cs="Arial"/>
      <w:b/>
      <w:bCs/>
      <w:sz w:val="28"/>
      <w:szCs w:val="28"/>
    </w:rPr>
  </w:style>
  <w:style w:type="character" w:customStyle="1" w:styleId="Heading3Char">
    <w:name w:val="Heading 3 Char"/>
    <w:aliases w:val="H3 Char,Headline 3 Char,h3 Char,h31 Char,h32 Char,H31 Char,3 Char,summit Char,3m Char,Paragraaf Char,head 3 Char,header3 Char,head 31 Char,header31 Char,head 32 Char,header32 Char,h33 Char,head 33 Char,header33 Char,h311 Char,h321 Char"/>
    <w:basedOn w:val="DefaultParagraphFont"/>
    <w:link w:val="Heading3"/>
    <w:uiPriority w:val="99"/>
    <w:locked/>
    <w:rsid w:val="00153292"/>
    <w:rPr>
      <w:rFonts w:ascii="Arial" w:hAnsi="Arial" w:cs="Arial"/>
      <w:b/>
      <w:bCs/>
    </w:rPr>
  </w:style>
  <w:style w:type="character" w:customStyle="1" w:styleId="Heading4Char">
    <w:name w:val="Heading 4 Char"/>
    <w:aliases w:val="H4 Char,h4 Char,4 Char,Propos Char,DNV-H4 Char,h4 sub sub heading Char,Sub Sub Paragraph Char,Heading 4 CFMU Char,Para 4 Char,chapitre 1.1.1.1 Char,Contrat 4 Char,Sub-paragraph Char,Heading 4(war) Char,Map Title Char,head 4 Char,h41 Char"/>
    <w:basedOn w:val="DefaultParagraphFont"/>
    <w:link w:val="Heading4"/>
    <w:uiPriority w:val="99"/>
    <w:locked/>
    <w:rsid w:val="00153292"/>
    <w:rPr>
      <w:rFonts w:ascii="Arial" w:hAnsi="Arial" w:cs="Arial"/>
      <w:b/>
      <w:bCs/>
    </w:rPr>
  </w:style>
  <w:style w:type="character" w:customStyle="1" w:styleId="Heading5Char">
    <w:name w:val="Heading 5 Char"/>
    <w:aliases w:val="Heading 5 CFMU Char,Para 5 Char,h5 Char,H5 Char,Heading 5(war) Char,DNV-H5 Char,Block Label Char,Level 3 - i Char,DO NOT USE_h5 Char,Tempo Heading 5 Char,Punt 5 Char,PARA5 Char,PIM 5 Char,Heading 5-1 Char,Third Level Heading Char,h51 Char"/>
    <w:basedOn w:val="DefaultParagraphFont"/>
    <w:link w:val="Heading5"/>
    <w:uiPriority w:val="9"/>
    <w:semiHidden/>
    <w:rsid w:val="00E7769B"/>
    <w:rPr>
      <w:rFonts w:asciiTheme="minorHAnsi" w:eastAsiaTheme="minorEastAsia" w:hAnsiTheme="minorHAnsi" w:cstheme="minorBidi"/>
      <w:b/>
      <w:bCs/>
      <w:i/>
      <w:iCs/>
      <w:sz w:val="26"/>
      <w:szCs w:val="26"/>
      <w:lang w:eastAsia="en-US"/>
    </w:rPr>
  </w:style>
  <w:style w:type="character" w:customStyle="1" w:styleId="Heading6Char">
    <w:name w:val="Heading 6 Char"/>
    <w:aliases w:val="H6 Char,6 Char,Heading 6 CFMU Char,h6 Char,DNV-H6 Char,Legal Level 1. Char,H61 Char,H62 Char,H63 Char,H64 Char,H65 Char,H66 Char,H611 Char,H621 Char,H631 Char,H641 Char,H651 Char,H67 Char,H612 Char,H622 Char,H632 Char,H642 Char,H652 Char"/>
    <w:basedOn w:val="DefaultParagraphFont"/>
    <w:link w:val="Heading6"/>
    <w:uiPriority w:val="99"/>
    <w:locked/>
    <w:rsid w:val="00153292"/>
    <w:rPr>
      <w:rFonts w:ascii="Arial" w:hAnsi="Arial" w:cs="Arial"/>
      <w:i/>
      <w:iCs/>
      <w:sz w:val="18"/>
      <w:szCs w:val="18"/>
    </w:rPr>
  </w:style>
  <w:style w:type="character" w:customStyle="1" w:styleId="Heading7Char">
    <w:name w:val="Heading 7 Char"/>
    <w:aliases w:val="Heading 7 CFMU Char,h7 Char,DNV-H7 Char,figure caption Char,Legal Level 1.1. Char,Lev 7 Char,7 Char,PA Appendix Major Char,Enumerate Char,letter list Char,lettered list Char,Appendix Level 1 Char,Appendix Level 11 Char,st Char,T7 Char"/>
    <w:basedOn w:val="DefaultParagraphFont"/>
    <w:link w:val="Heading7"/>
    <w:uiPriority w:val="99"/>
    <w:locked/>
    <w:rsid w:val="00153292"/>
    <w:rPr>
      <w:rFonts w:ascii="Arial" w:hAnsi="Arial" w:cs="Arial"/>
      <w:i/>
      <w:iCs/>
    </w:rPr>
  </w:style>
  <w:style w:type="character" w:customStyle="1" w:styleId="Heading8Char">
    <w:name w:val="Heading 8 Char"/>
    <w:aliases w:val="Legal Level 1.1.1. Char,Lev 8 Char,8 Char,PA Appendix Minor Char,Subenumerate Char,(Appendici) Char,tt Char,T8 Char,8 DO NOT USE Char,FigureTitle Char,Condition Char,requirement Char,req2 Char,req Char,Heading 8 (do not use) Char,ctp Char"/>
    <w:basedOn w:val="DefaultParagraphFont"/>
    <w:link w:val="Heading8"/>
    <w:uiPriority w:val="9"/>
    <w:semiHidden/>
    <w:rsid w:val="00E7769B"/>
    <w:rPr>
      <w:rFonts w:asciiTheme="minorHAnsi" w:eastAsiaTheme="minorEastAsia" w:hAnsiTheme="minorHAnsi" w:cstheme="minorBidi"/>
      <w:i/>
      <w:iCs/>
      <w:sz w:val="24"/>
      <w:szCs w:val="24"/>
      <w:lang w:eastAsia="en-US"/>
    </w:rPr>
  </w:style>
  <w:style w:type="character" w:customStyle="1" w:styleId="Heading9Char">
    <w:name w:val="Heading 9 Char"/>
    <w:aliases w:val="Heading 9. Char,9 Char,App1 Char,App Heading Char,Legal Level 1.1.1.1. Char,Doc Ref Char,(Bibliografia) Char,Titre 10 Char,ft Char,T9 Char,- DO NOT USE Char,PIM 9 Char,TableTitle Char,Cond'l Reqt. Char,rb Char,req bullet Char,req1 Char"/>
    <w:basedOn w:val="DefaultParagraphFont"/>
    <w:link w:val="Heading9"/>
    <w:uiPriority w:val="99"/>
    <w:locked/>
    <w:rsid w:val="00153292"/>
    <w:rPr>
      <w:rFonts w:ascii="Cambria" w:hAnsi="Cambria" w:cs="Cambria"/>
      <w:i/>
      <w:iCs/>
      <w:sz w:val="20"/>
      <w:szCs w:val="20"/>
    </w:rPr>
  </w:style>
  <w:style w:type="character" w:customStyle="1" w:styleId="Heading5Char2">
    <w:name w:val="Heading 5 Char2"/>
    <w:aliases w:val="Heading 5 CFMU Char2,Para 5 Char2,h5 Char2,H5 Char2,Heading 5(war) Char2,DNV-H5 Char2,Block Label Char2,Level 3 - i Char2,DO NOT USE_h5 Char2,Tempo Heading 5 Char2,Punt 5 Char2,PARA5 Char2,PIM 5 Char2,Heading 5-1 Char2,h51 Cha"/>
    <w:basedOn w:val="DefaultParagraphFont"/>
    <w:uiPriority w:val="99"/>
    <w:semiHidden/>
    <w:rPr>
      <w:rFonts w:ascii="Calibri" w:hAnsi="Calibri" w:cs="Calibri"/>
      <w:b/>
      <w:bCs/>
      <w:i/>
      <w:iCs/>
      <w:sz w:val="26"/>
      <w:szCs w:val="26"/>
      <w:lang w:eastAsia="en-US"/>
    </w:rPr>
  </w:style>
  <w:style w:type="character" w:customStyle="1" w:styleId="Heading8Char2">
    <w:name w:val="Heading 8 Char2"/>
    <w:aliases w:val="Legal Level 1.1.1. Char2,Lev 8 Char2,8 Char2,PA Appendix Minor Char2,Subenumerate Char2,(Appendici) Char2,tt Char2,T8 Char2,8 DO NOT USE Char2,FigureTitle Char2,Condition Char2,requirement Char2,req2 Char2,req Char2,ctp Cha"/>
    <w:basedOn w:val="DefaultParagraphFont"/>
    <w:uiPriority w:val="99"/>
    <w:semiHidden/>
    <w:rPr>
      <w:rFonts w:ascii="Calibri" w:hAnsi="Calibri" w:cs="Calibri"/>
      <w:i/>
      <w:iCs/>
      <w:sz w:val="24"/>
      <w:szCs w:val="24"/>
      <w:lang w:eastAsia="en-US"/>
    </w:rPr>
  </w:style>
  <w:style w:type="paragraph" w:styleId="BalloonText">
    <w:name w:val="Balloon Text"/>
    <w:basedOn w:val="Normal"/>
    <w:link w:val="BalloonTextChar"/>
    <w:uiPriority w:val="99"/>
    <w:semiHidden/>
    <w:rsid w:val="0015329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3292"/>
    <w:rPr>
      <w:rFonts w:ascii="Tahoma" w:hAnsi="Tahoma" w:cs="Tahoma"/>
      <w:sz w:val="16"/>
      <w:szCs w:val="16"/>
    </w:rPr>
  </w:style>
  <w:style w:type="character" w:customStyle="1" w:styleId="Heading5Char1">
    <w:name w:val="Heading 5 Char1"/>
    <w:aliases w:val="Heading 5 CFMU Char1,Para 5 Char1,h5 Char1,H5 Char1,Heading 5(war) Char1,DNV-H5 Char1,Block Label Char1,Level 3 - i Char1,DO NOT USE_h5 Char1,Tempo Heading 5 Char1,Punt 5 Char1,PARA5 Char1,PIM 5 Char1,Heading 5-1 Char1,h51 Char1,h52 Char"/>
    <w:basedOn w:val="DefaultParagraphFont"/>
    <w:link w:val="Heading5"/>
    <w:uiPriority w:val="99"/>
    <w:locked/>
    <w:rsid w:val="00153292"/>
    <w:rPr>
      <w:rFonts w:ascii="Arial" w:hAnsi="Arial" w:cs="Arial"/>
      <w:sz w:val="18"/>
      <w:szCs w:val="18"/>
    </w:rPr>
  </w:style>
  <w:style w:type="character" w:customStyle="1" w:styleId="Heading8Char1">
    <w:name w:val="Heading 8 Char1"/>
    <w:aliases w:val="Legal Level 1.1.1. Char1,Lev 8 Char1,8 Char1,PA Appendix Minor Char1,Subenumerate Char1,(Appendici) Char1,tt Char1,T8 Char1,8 DO NOT USE Char1,FigureTitle Char1,Condition Char1,requirement Char1,req2 Char1,req Char1,ctp Char1,h8 Char"/>
    <w:basedOn w:val="DefaultParagraphFont"/>
    <w:link w:val="Heading8"/>
    <w:uiPriority w:val="99"/>
    <w:locked/>
    <w:rsid w:val="00153292"/>
    <w:rPr>
      <w:rFonts w:ascii="Cambria" w:hAnsi="Cambria" w:cs="Cambria"/>
      <w:sz w:val="20"/>
      <w:szCs w:val="20"/>
    </w:rPr>
  </w:style>
  <w:style w:type="table" w:styleId="TableGrid">
    <w:name w:val="Table Grid"/>
    <w:aliases w:val="Tabla,Smart Text Table,Deloitte Table Grid,Table Definitions Grid,Table Definitions Grid1,HTG,E"/>
    <w:basedOn w:val="TableNormal"/>
    <w:uiPriority w:val="99"/>
    <w:rsid w:val="00153292"/>
    <w:pPr>
      <w:spacing w:before="120"/>
      <w:ind w:right="-34"/>
      <w:jc w:val="both"/>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1159</Words>
  <Characters>6378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Presupuesto del Cabildo Insular de Tenerife para el ejercicio 2019 se enmarca en la planificación estratégica a medio y largo plazo acordada por la Corporación a través del Marco Estratégico de Desarrollo Insular (MEDI)</dc:title>
  <dc:subject/>
  <dc:creator>Juan Carlos Pérez Frías</dc:creator>
  <cp:keywords/>
  <dc:description/>
  <cp:lastModifiedBy>Cabildo de Tenerife</cp:lastModifiedBy>
  <cp:revision>4</cp:revision>
  <cp:lastPrinted>2018-11-06T12:52:00Z</cp:lastPrinted>
  <dcterms:created xsi:type="dcterms:W3CDTF">2018-11-06T13:18:00Z</dcterms:created>
  <dcterms:modified xsi:type="dcterms:W3CDTF">2018-11-06T17:18:00Z</dcterms:modified>
</cp:coreProperties>
</file>