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819"/>
        <w:gridCol w:w="6158"/>
      </w:tblGrid>
      <w:tr w:rsidR="002602AC" w:rsidRPr="00CA1439" w:rsidTr="00093714">
        <w:trPr>
          <w:trHeight w:val="1433"/>
        </w:trPr>
        <w:tc>
          <w:tcPr>
            <w:tcW w:w="1819" w:type="dxa"/>
          </w:tcPr>
          <w:p w:rsidR="002602AC" w:rsidRPr="00CA1439" w:rsidRDefault="00DD025E" w:rsidP="00B97F5E">
            <w:pPr>
              <w:spacing w:before="0"/>
              <w:rPr>
                <w:rFonts w:cs="Arial"/>
              </w:rPr>
            </w:pPr>
            <w:r w:rsidRPr="00CA1439">
              <w:rPr>
                <w:rFonts w:cs="Arial"/>
                <w:noProof/>
                <w:lang w:val="es-ES" w:eastAsia="es-ES"/>
              </w:rPr>
              <w:drawing>
                <wp:inline distT="0" distB="0" distL="0" distR="0" wp14:anchorId="4CC30648" wp14:editId="70D4C7F4">
                  <wp:extent cx="1082040" cy="845820"/>
                  <wp:effectExtent l="0" t="0" r="381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2040" cy="845820"/>
                          </a:xfrm>
                          <a:prstGeom prst="rect">
                            <a:avLst/>
                          </a:prstGeom>
                          <a:noFill/>
                          <a:ln>
                            <a:noFill/>
                          </a:ln>
                        </pic:spPr>
                      </pic:pic>
                    </a:graphicData>
                  </a:graphic>
                </wp:inline>
              </w:drawing>
            </w:r>
          </w:p>
        </w:tc>
        <w:tc>
          <w:tcPr>
            <w:tcW w:w="6158" w:type="dxa"/>
          </w:tcPr>
          <w:p w:rsidR="002602AC" w:rsidRPr="00CA1439" w:rsidRDefault="002602AC" w:rsidP="00EF579A">
            <w:pPr>
              <w:pStyle w:val="Area"/>
              <w:tabs>
                <w:tab w:val="left" w:leader="dot" w:pos="4591"/>
              </w:tabs>
              <w:spacing w:before="240"/>
              <w:jc w:val="left"/>
              <w:rPr>
                <w:sz w:val="24"/>
              </w:rPr>
            </w:pPr>
            <w:r w:rsidRPr="00CA1439">
              <w:rPr>
                <w:b/>
                <w:sz w:val="24"/>
              </w:rPr>
              <w:t xml:space="preserve">Área </w:t>
            </w:r>
            <w:r w:rsidR="00C27DF2" w:rsidRPr="00CA1439">
              <w:rPr>
                <w:b/>
                <w:sz w:val="24"/>
              </w:rPr>
              <w:t xml:space="preserve">de </w:t>
            </w:r>
            <w:r w:rsidR="00643780" w:rsidRPr="00CA1439">
              <w:rPr>
                <w:b/>
                <w:sz w:val="24"/>
              </w:rPr>
              <w:t>Presidencia</w:t>
            </w:r>
          </w:p>
          <w:p w:rsidR="002602AC" w:rsidRPr="00CA1439" w:rsidRDefault="002602AC" w:rsidP="0006074F">
            <w:pPr>
              <w:pStyle w:val="Area"/>
              <w:tabs>
                <w:tab w:val="left" w:leader="dot" w:pos="4734"/>
              </w:tabs>
              <w:spacing w:before="240"/>
            </w:pPr>
            <w:r w:rsidRPr="00CA1439">
              <w:t xml:space="preserve">Servicio Administrativo de </w:t>
            </w:r>
            <w:r w:rsidR="009C344E" w:rsidRPr="00CA1439">
              <w:t>Sector Público Insular</w:t>
            </w:r>
          </w:p>
        </w:tc>
      </w:tr>
    </w:tbl>
    <w:p w:rsidR="00380B30" w:rsidRPr="00CA1439" w:rsidRDefault="00380B30" w:rsidP="00EF579A">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3"/>
        <w:gridCol w:w="1514"/>
      </w:tblGrid>
      <w:tr w:rsidR="00CC19DF" w:rsidRPr="00CA1439" w:rsidTr="00E55BDB">
        <w:trPr>
          <w:trHeight w:val="1261"/>
        </w:trPr>
        <w:tc>
          <w:tcPr>
            <w:tcW w:w="4231" w:type="pct"/>
            <w:shd w:val="clear" w:color="auto" w:fill="99CCFF"/>
            <w:vAlign w:val="center"/>
          </w:tcPr>
          <w:p w:rsidR="00643780" w:rsidRPr="00CA1439" w:rsidRDefault="00643780" w:rsidP="00643780">
            <w:pPr>
              <w:jc w:val="center"/>
              <w:rPr>
                <w:rFonts w:cs="Arial"/>
                <w:b/>
                <w:bCs/>
                <w:sz w:val="22"/>
                <w:szCs w:val="22"/>
              </w:rPr>
            </w:pPr>
            <w:r w:rsidRPr="00CA1439">
              <w:rPr>
                <w:rFonts w:cs="Arial"/>
                <w:b/>
                <w:bCs/>
                <w:sz w:val="22"/>
                <w:szCs w:val="22"/>
              </w:rPr>
              <w:t>PRESUPUESTO GENERAL DEL CABILDO INSULAR DE TENERIFE</w:t>
            </w:r>
            <w:r w:rsidRPr="00CA1439">
              <w:rPr>
                <w:rFonts w:cs="Arial"/>
                <w:b/>
                <w:bCs/>
                <w:sz w:val="22"/>
                <w:szCs w:val="22"/>
              </w:rPr>
              <w:br/>
              <w:t>PROGRAMA DE ACTUACIÓN, INVERSIONES Y FINANCIACIÓN</w:t>
            </w:r>
          </w:p>
          <w:p w:rsidR="00CC19DF" w:rsidRPr="00CA1439" w:rsidRDefault="00CC19DF" w:rsidP="00E55BDB">
            <w:pPr>
              <w:spacing w:before="0"/>
              <w:jc w:val="center"/>
              <w:rPr>
                <w:rFonts w:cs="Arial"/>
                <w:sz w:val="22"/>
                <w:szCs w:val="22"/>
              </w:rPr>
            </w:pPr>
          </w:p>
        </w:tc>
        <w:tc>
          <w:tcPr>
            <w:tcW w:w="769" w:type="pct"/>
            <w:vMerge w:val="restart"/>
            <w:shd w:val="clear" w:color="auto" w:fill="99CCFF"/>
            <w:vAlign w:val="center"/>
          </w:tcPr>
          <w:p w:rsidR="00CC19DF" w:rsidRPr="00CA1439" w:rsidRDefault="0006074F" w:rsidP="00CC19DF">
            <w:pPr>
              <w:spacing w:before="0"/>
              <w:jc w:val="center"/>
              <w:rPr>
                <w:rFonts w:cs="Arial"/>
                <w:b/>
                <w:bCs/>
                <w:color w:val="000000"/>
                <w:sz w:val="22"/>
                <w:szCs w:val="22"/>
              </w:rPr>
            </w:pPr>
            <w:r w:rsidRPr="00CA1439">
              <w:rPr>
                <w:rFonts w:cs="Arial"/>
                <w:b/>
                <w:bCs/>
                <w:color w:val="000000"/>
                <w:sz w:val="22"/>
                <w:szCs w:val="22"/>
              </w:rPr>
              <w:t>201</w:t>
            </w:r>
            <w:r w:rsidR="00C3412D" w:rsidRPr="00CA1439">
              <w:rPr>
                <w:rFonts w:cs="Arial"/>
                <w:b/>
                <w:bCs/>
                <w:color w:val="000000"/>
                <w:sz w:val="22"/>
                <w:szCs w:val="22"/>
              </w:rPr>
              <w:t>9</w:t>
            </w:r>
          </w:p>
        </w:tc>
      </w:tr>
      <w:tr w:rsidR="00CC19DF" w:rsidRPr="00CA1439" w:rsidTr="00B40E42">
        <w:trPr>
          <w:trHeight w:val="428"/>
        </w:trPr>
        <w:tc>
          <w:tcPr>
            <w:tcW w:w="4231" w:type="pct"/>
            <w:shd w:val="clear" w:color="auto" w:fill="99CCFF"/>
            <w:vAlign w:val="center"/>
          </w:tcPr>
          <w:p w:rsidR="00CC19DF" w:rsidRPr="00CA1439" w:rsidRDefault="00CC19DF" w:rsidP="0017153F">
            <w:pPr>
              <w:spacing w:before="0"/>
              <w:rPr>
                <w:rFonts w:cs="Arial"/>
                <w:b/>
                <w:sz w:val="22"/>
                <w:szCs w:val="22"/>
              </w:rPr>
            </w:pPr>
            <w:r w:rsidRPr="00CA1439">
              <w:rPr>
                <w:rFonts w:cs="Arial"/>
                <w:b/>
                <w:sz w:val="22"/>
                <w:szCs w:val="22"/>
              </w:rPr>
              <w:t xml:space="preserve">ENTIDAD: </w:t>
            </w:r>
            <w:r w:rsidR="00DD025E" w:rsidRPr="00CA1439">
              <w:rPr>
                <w:rFonts w:cs="Arial"/>
                <w:b/>
                <w:sz w:val="22"/>
                <w:szCs w:val="22"/>
              </w:rPr>
              <w:t xml:space="preserve">CASINO </w:t>
            </w:r>
            <w:r w:rsidR="0017153F" w:rsidRPr="00CA1439">
              <w:rPr>
                <w:rFonts w:cs="Arial"/>
                <w:b/>
                <w:sz w:val="22"/>
                <w:szCs w:val="22"/>
              </w:rPr>
              <w:t>TAORO, S.A.</w:t>
            </w:r>
          </w:p>
        </w:tc>
        <w:tc>
          <w:tcPr>
            <w:tcW w:w="769" w:type="pct"/>
            <w:vMerge/>
            <w:shd w:val="clear" w:color="auto" w:fill="99CCFF"/>
            <w:vAlign w:val="center"/>
          </w:tcPr>
          <w:p w:rsidR="00CC19DF" w:rsidRPr="00CA1439" w:rsidRDefault="00CC19DF" w:rsidP="00CC19DF">
            <w:pPr>
              <w:spacing w:before="0"/>
              <w:ind w:firstLine="33"/>
              <w:jc w:val="center"/>
              <w:rPr>
                <w:rFonts w:cs="Arial"/>
                <w:b/>
                <w:bCs/>
                <w:color w:val="000000"/>
                <w:sz w:val="22"/>
                <w:szCs w:val="22"/>
              </w:rPr>
            </w:pPr>
          </w:p>
        </w:tc>
      </w:tr>
      <w:tr w:rsidR="00CC19DF" w:rsidRPr="00CA1439" w:rsidTr="00B40E42">
        <w:trPr>
          <w:trHeight w:val="703"/>
        </w:trPr>
        <w:tc>
          <w:tcPr>
            <w:tcW w:w="5000" w:type="pct"/>
            <w:gridSpan w:val="2"/>
            <w:vAlign w:val="center"/>
          </w:tcPr>
          <w:p w:rsidR="00CC19DF" w:rsidRPr="00CA1439" w:rsidRDefault="00CC19DF" w:rsidP="00CC19DF">
            <w:pPr>
              <w:spacing w:before="0"/>
              <w:jc w:val="center"/>
              <w:rPr>
                <w:rFonts w:cs="Arial"/>
                <w:b/>
                <w:sz w:val="22"/>
                <w:szCs w:val="22"/>
              </w:rPr>
            </w:pPr>
            <w:r w:rsidRPr="00CA1439">
              <w:rPr>
                <w:rFonts w:cs="Arial"/>
                <w:b/>
                <w:sz w:val="22"/>
                <w:szCs w:val="22"/>
              </w:rPr>
              <w:t>MEMORIA DE OBJETIVOS A REALIZAR DURANTE EL EJERCICIO 201</w:t>
            </w:r>
            <w:r w:rsidR="00140ED8" w:rsidRPr="00CA1439">
              <w:rPr>
                <w:rFonts w:cs="Arial"/>
                <w:b/>
                <w:sz w:val="22"/>
                <w:szCs w:val="22"/>
              </w:rPr>
              <w:t>9</w:t>
            </w:r>
          </w:p>
        </w:tc>
      </w:tr>
      <w:tr w:rsidR="00CC19DF" w:rsidRPr="00CA1439" w:rsidTr="00B40E42">
        <w:trPr>
          <w:trHeight w:val="8444"/>
        </w:trPr>
        <w:tc>
          <w:tcPr>
            <w:tcW w:w="5000" w:type="pct"/>
            <w:gridSpan w:val="2"/>
          </w:tcPr>
          <w:p w:rsidR="00B01809" w:rsidRPr="00CA1439" w:rsidRDefault="00B01809" w:rsidP="00E55BDB">
            <w:pPr>
              <w:spacing w:before="0"/>
              <w:rPr>
                <w:rFonts w:cs="Arial"/>
                <w:b/>
                <w:color w:val="FF0000"/>
                <w:sz w:val="20"/>
                <w:szCs w:val="20"/>
              </w:rPr>
            </w:pPr>
          </w:p>
          <w:p w:rsidR="00E84F9C" w:rsidRPr="00CA1439" w:rsidRDefault="00E84F9C" w:rsidP="00E55BDB">
            <w:pPr>
              <w:spacing w:before="0"/>
              <w:rPr>
                <w:rFonts w:cs="Arial"/>
                <w:b/>
                <w:color w:val="FF0000"/>
                <w:sz w:val="20"/>
                <w:szCs w:val="20"/>
              </w:rPr>
            </w:pPr>
          </w:p>
          <w:p w:rsidR="0017153F" w:rsidRPr="00CA1439" w:rsidRDefault="0017153F" w:rsidP="0017153F">
            <w:pPr>
              <w:rPr>
                <w:rFonts w:cs="Arial"/>
              </w:rPr>
            </w:pPr>
            <w:r w:rsidRPr="00CA1439">
              <w:rPr>
                <w:rFonts w:cs="Arial"/>
              </w:rPr>
              <w:t>A pesar de la recuperación económica iniciada en 2014 y del crecimiento económico en el periodo 2015 - 2018, la elaboración del presupuesto para 2019 seguirá condicionada por la crisis económica que comenzó a finales de 2007, y que ha supuesto una caída de los ingresos en los Casinos Canarios del 51,30% desde enero 2007 hasta la fecha actual y que en los Casinos de Tenerife representó una variación negativa del 42,1%.</w:t>
            </w:r>
          </w:p>
          <w:p w:rsidR="0017153F" w:rsidRPr="00CA1439" w:rsidRDefault="0017153F" w:rsidP="0017153F">
            <w:pPr>
              <w:rPr>
                <w:rFonts w:cs="Arial"/>
              </w:rPr>
            </w:pPr>
            <w:r w:rsidRPr="00CA1439">
              <w:rPr>
                <w:rFonts w:cs="Arial"/>
              </w:rPr>
              <w:t>El Plan de Saneamiento aprobado por los Consejos de Administración en noviembre de 2011, establecía las medidas necesarias para corregir el desequilibrio económico existente en cada una de las tres sociedades, consiguiéndose en el año 2014 mediante la adecuación de los recursos a los ingresos actuales.</w:t>
            </w:r>
          </w:p>
          <w:p w:rsidR="0017153F" w:rsidRPr="00CA1439" w:rsidRDefault="0017153F" w:rsidP="0017153F">
            <w:pPr>
              <w:rPr>
                <w:rFonts w:cs="Arial"/>
              </w:rPr>
            </w:pPr>
            <w:r w:rsidRPr="00CA1439">
              <w:rPr>
                <w:rFonts w:cs="Arial"/>
              </w:rPr>
              <w:t>Detallamos a continuación un análisis comparativo de la evolución de los gastos de explotación de los Casinos de Tenerife, en el periodo 2007-2018 y presupuesto 2019.</w:t>
            </w:r>
          </w:p>
          <w:p w:rsidR="0017153F" w:rsidRPr="00CA1439" w:rsidRDefault="0017153F" w:rsidP="0017153F">
            <w:pPr>
              <w:rPr>
                <w:rFonts w:cs="Arial"/>
              </w:rPr>
            </w:pPr>
          </w:p>
          <w:tbl>
            <w:tblPr>
              <w:tblW w:w="8060" w:type="dxa"/>
              <w:tblInd w:w="226" w:type="dxa"/>
              <w:tblCellMar>
                <w:left w:w="70" w:type="dxa"/>
                <w:right w:w="70" w:type="dxa"/>
              </w:tblCellMar>
              <w:tblLook w:val="04A0" w:firstRow="1" w:lastRow="0" w:firstColumn="1" w:lastColumn="0" w:noHBand="0" w:noVBand="1"/>
            </w:tblPr>
            <w:tblGrid>
              <w:gridCol w:w="1840"/>
              <w:gridCol w:w="1100"/>
              <w:gridCol w:w="180"/>
              <w:gridCol w:w="1100"/>
              <w:gridCol w:w="180"/>
              <w:gridCol w:w="1231"/>
              <w:gridCol w:w="180"/>
              <w:gridCol w:w="1100"/>
              <w:gridCol w:w="180"/>
              <w:gridCol w:w="1100"/>
            </w:tblGrid>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Real</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Estimado</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Presupuesto</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Diferencia</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Variación</w:t>
                  </w:r>
                </w:p>
              </w:tc>
            </w:tr>
            <w:tr w:rsidR="0017153F" w:rsidRPr="00CA1439" w:rsidTr="005319E9">
              <w:trPr>
                <w:trHeight w:val="288"/>
              </w:trPr>
              <w:tc>
                <w:tcPr>
                  <w:tcW w:w="184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 x 1000)</w:t>
                  </w:r>
                </w:p>
              </w:tc>
              <w:tc>
                <w:tcPr>
                  <w:tcW w:w="11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2007</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2018</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2019</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2007/2019</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2019/2007</w:t>
                  </w:r>
                </w:p>
              </w:tc>
            </w:tr>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r>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Gastos Personal</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7.331,76</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4.641,84</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4.722,11</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-2.609,65</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-35,59%</w:t>
                  </w:r>
                </w:p>
              </w:tc>
            </w:tr>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Impuestos Fijos</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1.915,48</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1.081,11</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1.075,06</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-840,42</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-43,88%</w:t>
                  </w:r>
                </w:p>
              </w:tc>
            </w:tr>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Servicios Exteriores</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1.128,20</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536,61</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594,24</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-533,96</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-47,33%</w:t>
                  </w:r>
                </w:p>
              </w:tc>
            </w:tr>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Publicidad</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1.173,64</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346,61</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330,87</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-842,77</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-71,81%</w:t>
                  </w:r>
                </w:p>
              </w:tc>
            </w:tr>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Arrendamiento</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555,25</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205,55</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209,37</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-345,88</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-62,29%</w:t>
                  </w:r>
                </w:p>
              </w:tc>
            </w:tr>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Otros Gastos</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1.211,51</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453,22</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399,56</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-811,95</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-67,02%</w:t>
                  </w:r>
                </w:p>
              </w:tc>
            </w:tr>
            <w:tr w:rsidR="0017153F" w:rsidRPr="00CA1439" w:rsidTr="005319E9">
              <w:trPr>
                <w:trHeight w:val="288"/>
              </w:trPr>
              <w:tc>
                <w:tcPr>
                  <w:tcW w:w="184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r>
            <w:tr w:rsidR="0017153F" w:rsidRPr="00CA1439" w:rsidTr="005319E9">
              <w:trPr>
                <w:trHeight w:val="288"/>
              </w:trPr>
              <w:tc>
                <w:tcPr>
                  <w:tcW w:w="184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TOTAL</w:t>
                  </w:r>
                </w:p>
              </w:tc>
              <w:tc>
                <w:tcPr>
                  <w:tcW w:w="110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r w:rsidRPr="00CA1439">
                    <w:rPr>
                      <w:rFonts w:eastAsia="Times New Roman" w:cs="Arial"/>
                      <w:b/>
                      <w:bCs/>
                      <w:color w:val="000000"/>
                      <w:sz w:val="18"/>
                      <w:szCs w:val="18"/>
                      <w:lang w:eastAsia="es-ES"/>
                    </w:rPr>
                    <w:t>13.315,84</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p>
              </w:tc>
              <w:tc>
                <w:tcPr>
                  <w:tcW w:w="110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r w:rsidRPr="00CA1439">
                    <w:rPr>
                      <w:rFonts w:eastAsia="Times New Roman" w:cs="Arial"/>
                      <w:b/>
                      <w:bCs/>
                      <w:color w:val="000000"/>
                      <w:sz w:val="18"/>
                      <w:szCs w:val="18"/>
                      <w:lang w:eastAsia="es-ES"/>
                    </w:rPr>
                    <w:t>7.264,94</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p>
              </w:tc>
              <w:tc>
                <w:tcPr>
                  <w:tcW w:w="110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r w:rsidRPr="00CA1439">
                    <w:rPr>
                      <w:rFonts w:eastAsia="Times New Roman" w:cs="Arial"/>
                      <w:b/>
                      <w:bCs/>
                      <w:color w:val="000000"/>
                      <w:sz w:val="18"/>
                      <w:szCs w:val="18"/>
                      <w:lang w:eastAsia="es-ES"/>
                    </w:rPr>
                    <w:t>7.331,21</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p>
              </w:tc>
              <w:tc>
                <w:tcPr>
                  <w:tcW w:w="110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r w:rsidRPr="00CA1439">
                    <w:rPr>
                      <w:rFonts w:eastAsia="Times New Roman" w:cs="Arial"/>
                      <w:b/>
                      <w:bCs/>
                      <w:color w:val="000000"/>
                      <w:sz w:val="18"/>
                      <w:szCs w:val="18"/>
                      <w:lang w:eastAsia="es-ES"/>
                    </w:rPr>
                    <w:t>-5.984,63</w:t>
                  </w:r>
                </w:p>
              </w:tc>
              <w:tc>
                <w:tcPr>
                  <w:tcW w:w="18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p>
              </w:tc>
              <w:tc>
                <w:tcPr>
                  <w:tcW w:w="110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r w:rsidRPr="00CA1439">
                    <w:rPr>
                      <w:rFonts w:eastAsia="Times New Roman" w:cs="Arial"/>
                      <w:b/>
                      <w:bCs/>
                      <w:color w:val="000000"/>
                      <w:sz w:val="18"/>
                      <w:szCs w:val="18"/>
                      <w:lang w:eastAsia="es-ES"/>
                    </w:rPr>
                    <w:t>-44,94%</w:t>
                  </w:r>
                </w:p>
              </w:tc>
            </w:tr>
          </w:tbl>
          <w:p w:rsidR="0017153F" w:rsidRPr="00CA1439" w:rsidRDefault="0017153F" w:rsidP="0017153F">
            <w:pPr>
              <w:rPr>
                <w:rFonts w:cs="Arial"/>
              </w:rPr>
            </w:pPr>
          </w:p>
          <w:p w:rsidR="0017153F" w:rsidRPr="00CA1439" w:rsidRDefault="0017153F" w:rsidP="0017153F">
            <w:pPr>
              <w:rPr>
                <w:rFonts w:cs="Arial"/>
              </w:rPr>
            </w:pPr>
            <w:r w:rsidRPr="00CA1439">
              <w:rPr>
                <w:rFonts w:cs="Arial"/>
              </w:rPr>
              <w:lastRenderedPageBreak/>
              <w:t>Los gastos de explotación fijos presupuestados para 2019 del Grupo Casinos representan una cifra de 7.331,21 miles de euros, en relación con los 13.315,83 miles de euros registrados en 2007, lo que supone una disminución del 44,94% para dicho periodo. EL importe presupuestado para el año 2019 representa un incremento del 0,91% en relación con 2018.</w:t>
            </w:r>
          </w:p>
          <w:p w:rsidR="0017153F" w:rsidRPr="00CA1439" w:rsidRDefault="0017153F" w:rsidP="0017153F">
            <w:pPr>
              <w:rPr>
                <w:rFonts w:cs="Arial"/>
              </w:rPr>
            </w:pPr>
            <w:r w:rsidRPr="00CA1439">
              <w:rPr>
                <w:rFonts w:cs="Arial"/>
              </w:rPr>
              <w:t xml:space="preserve">Los ingresos de explotación del Grupo Casinos para 2019 crecen en relación con el 2018 un 3,1%. Este incremento presupuestado vendrá dado, principalmente, por la mayor recaudación de máquinas en un 3,2%. </w:t>
            </w:r>
          </w:p>
          <w:p w:rsidR="0017153F" w:rsidRPr="00CA1439" w:rsidRDefault="0017153F" w:rsidP="0017153F">
            <w:pPr>
              <w:rPr>
                <w:rFonts w:cs="Arial"/>
              </w:rPr>
            </w:pPr>
            <w:r w:rsidRPr="00CA1439">
              <w:rPr>
                <w:rFonts w:cs="Arial"/>
              </w:rPr>
              <w:t>El resultado contable estimado del grupo para 2018 y 2019 es un beneficio de 2.365,70 miles de euros y 2.636,62 miles de euros, respectivamente.</w:t>
            </w:r>
          </w:p>
          <w:p w:rsidR="0017153F" w:rsidRPr="00CA1439" w:rsidRDefault="0017153F" w:rsidP="0017153F">
            <w:pPr>
              <w:rPr>
                <w:rFonts w:cs="Arial"/>
              </w:rPr>
            </w:pPr>
          </w:p>
          <w:p w:rsidR="0017153F" w:rsidRPr="00CA1439" w:rsidRDefault="0017153F" w:rsidP="0017153F">
            <w:pPr>
              <w:rPr>
                <w:rFonts w:cs="Arial"/>
              </w:rPr>
            </w:pPr>
            <w:r w:rsidRPr="00CA1439">
              <w:rPr>
                <w:rFonts w:cs="Arial"/>
              </w:rPr>
              <w:t xml:space="preserve">El presupuesto del Casino </w:t>
            </w:r>
            <w:proofErr w:type="spellStart"/>
            <w:r w:rsidRPr="00CA1439">
              <w:rPr>
                <w:rFonts w:cs="Arial"/>
              </w:rPr>
              <w:t>Taoro</w:t>
            </w:r>
            <w:proofErr w:type="spellEnd"/>
            <w:r w:rsidRPr="00CA1439">
              <w:rPr>
                <w:rFonts w:cs="Arial"/>
              </w:rPr>
              <w:t>, S.A., para 2019 viene caracterizado por los siguientes hechos:</w:t>
            </w:r>
          </w:p>
          <w:p w:rsidR="0017153F" w:rsidRPr="00CA1439" w:rsidRDefault="0017153F" w:rsidP="0017153F">
            <w:pPr>
              <w:rPr>
                <w:rFonts w:cs="Arial"/>
              </w:rPr>
            </w:pPr>
          </w:p>
          <w:p w:rsidR="0017153F" w:rsidRPr="00CA1439" w:rsidRDefault="0017153F" w:rsidP="0017153F">
            <w:pPr>
              <w:pStyle w:val="Prrafodelista"/>
              <w:numPr>
                <w:ilvl w:val="0"/>
                <w:numId w:val="7"/>
              </w:numPr>
              <w:spacing w:after="200" w:line="276" w:lineRule="auto"/>
              <w:rPr>
                <w:rFonts w:ascii="Arial" w:hAnsi="Arial" w:cs="Arial"/>
                <w:b/>
              </w:rPr>
            </w:pPr>
            <w:r w:rsidRPr="00CA1439">
              <w:rPr>
                <w:rFonts w:ascii="Arial" w:hAnsi="Arial" w:cs="Arial"/>
                <w:b/>
              </w:rPr>
              <w:t>Crecimiento muy moderado en los ingresos de explotación.</w:t>
            </w:r>
          </w:p>
          <w:p w:rsidR="0017153F" w:rsidRPr="00CA1439" w:rsidRDefault="0017153F" w:rsidP="0017153F">
            <w:pPr>
              <w:pStyle w:val="Prrafodelista"/>
              <w:rPr>
                <w:rFonts w:ascii="Arial" w:hAnsi="Arial" w:cs="Arial"/>
              </w:rPr>
            </w:pPr>
          </w:p>
          <w:p w:rsidR="0017153F" w:rsidRPr="00CA1439" w:rsidRDefault="0017153F" w:rsidP="0017153F">
            <w:pPr>
              <w:rPr>
                <w:rFonts w:cs="Arial"/>
              </w:rPr>
            </w:pPr>
            <w:r w:rsidRPr="00CA1439">
              <w:rPr>
                <w:rFonts w:cs="Arial"/>
              </w:rPr>
              <w:tab/>
              <w:t xml:space="preserve">Los ingresos presupuestados para 2019 representan un incremento del 1,3% en </w:t>
            </w:r>
            <w:r w:rsidRPr="00CA1439">
              <w:rPr>
                <w:rFonts w:cs="Arial"/>
              </w:rPr>
              <w:tab/>
              <w:t xml:space="preserve">relación con el estimado para el 2018. Este incremento viene motivado por las </w:t>
            </w:r>
            <w:r w:rsidRPr="00CA1439">
              <w:rPr>
                <w:rFonts w:cs="Arial"/>
              </w:rPr>
              <w:tab/>
              <w:t>siguientes circunstancias:</w:t>
            </w:r>
          </w:p>
          <w:p w:rsidR="0017153F" w:rsidRPr="00CA1439" w:rsidRDefault="0017153F" w:rsidP="0017153F">
            <w:pPr>
              <w:rPr>
                <w:rFonts w:cs="Arial"/>
              </w:rPr>
            </w:pPr>
          </w:p>
          <w:p w:rsidR="0017153F" w:rsidRPr="00CA1439" w:rsidRDefault="0017153F" w:rsidP="0017153F">
            <w:pPr>
              <w:pStyle w:val="Prrafodelista"/>
              <w:numPr>
                <w:ilvl w:val="0"/>
                <w:numId w:val="8"/>
              </w:numPr>
              <w:spacing w:after="200" w:line="276" w:lineRule="auto"/>
              <w:jc w:val="both"/>
              <w:rPr>
                <w:rFonts w:ascii="Arial" w:hAnsi="Arial" w:cs="Arial"/>
              </w:rPr>
            </w:pPr>
            <w:r w:rsidRPr="00CA1439">
              <w:rPr>
                <w:rFonts w:ascii="Arial" w:hAnsi="Arial" w:cs="Arial"/>
              </w:rPr>
              <w:t xml:space="preserve">Los ingresos por mesas de juego para el 2019 aumentan un 2,0% en relación con la </w:t>
            </w:r>
            <w:r w:rsidRPr="00CA1439">
              <w:rPr>
                <w:rFonts w:ascii="Arial" w:hAnsi="Arial" w:cs="Arial"/>
              </w:rPr>
              <w:tab/>
              <w:t>cifra estimada para el 2018, como consecuencia del aumento del dinero cambiado por visitantes. El número de visitantes y el porcentaje de ganancias se mantienen en cifras similares a las del 2018.</w:t>
            </w:r>
          </w:p>
          <w:p w:rsidR="0017153F" w:rsidRPr="00CA1439" w:rsidRDefault="0017153F" w:rsidP="0017153F">
            <w:pPr>
              <w:pStyle w:val="Prrafodelista"/>
              <w:ind w:left="1425"/>
              <w:jc w:val="both"/>
              <w:rPr>
                <w:rFonts w:ascii="Arial" w:hAnsi="Arial" w:cs="Arial"/>
              </w:rPr>
            </w:pPr>
          </w:p>
          <w:p w:rsidR="0017153F" w:rsidRPr="00CA1439" w:rsidRDefault="0017153F" w:rsidP="0017153F">
            <w:pPr>
              <w:pStyle w:val="Prrafodelista"/>
              <w:numPr>
                <w:ilvl w:val="0"/>
                <w:numId w:val="8"/>
              </w:numPr>
              <w:spacing w:after="200" w:line="276" w:lineRule="auto"/>
              <w:jc w:val="both"/>
              <w:rPr>
                <w:rFonts w:ascii="Arial" w:hAnsi="Arial" w:cs="Arial"/>
              </w:rPr>
            </w:pPr>
            <w:r w:rsidRPr="00CA1439">
              <w:rPr>
                <w:rFonts w:ascii="Arial" w:hAnsi="Arial" w:cs="Arial"/>
              </w:rPr>
              <w:t>La recaudación de máquinas estimada para el 2019 es de 1.648,06 miles de euros lo que representa un incremento del 1% en relación con el año 2018. Este crecimiento vendrá dado por el aumento del ingreso por visitante que pasará de 101,98 euros/visitas a 103,00 euros/visitas.</w:t>
            </w:r>
          </w:p>
          <w:p w:rsidR="0017153F" w:rsidRPr="00CA1439" w:rsidRDefault="0017153F" w:rsidP="0017153F">
            <w:pPr>
              <w:pStyle w:val="Prrafodelista"/>
              <w:rPr>
                <w:rFonts w:ascii="Arial" w:hAnsi="Arial" w:cs="Arial"/>
                <w:b/>
              </w:rPr>
            </w:pPr>
          </w:p>
          <w:p w:rsidR="0017153F" w:rsidRPr="00CA1439" w:rsidRDefault="0017153F" w:rsidP="0017153F">
            <w:pPr>
              <w:pStyle w:val="Prrafodelista"/>
              <w:rPr>
                <w:rFonts w:ascii="Arial" w:hAnsi="Arial" w:cs="Arial"/>
                <w:b/>
              </w:rPr>
            </w:pPr>
          </w:p>
          <w:p w:rsidR="0017153F" w:rsidRPr="00CA1439" w:rsidRDefault="0017153F" w:rsidP="0017153F">
            <w:pPr>
              <w:pStyle w:val="Prrafodelista"/>
              <w:numPr>
                <w:ilvl w:val="0"/>
                <w:numId w:val="7"/>
              </w:numPr>
              <w:spacing w:after="200" w:line="276" w:lineRule="auto"/>
              <w:rPr>
                <w:rFonts w:ascii="Arial" w:hAnsi="Arial" w:cs="Arial"/>
                <w:b/>
              </w:rPr>
            </w:pPr>
            <w:r w:rsidRPr="00CA1439">
              <w:rPr>
                <w:rFonts w:ascii="Arial" w:hAnsi="Arial" w:cs="Arial"/>
                <w:b/>
              </w:rPr>
              <w:t>Consolidación en la disminución de los gastos de explotación.</w:t>
            </w:r>
          </w:p>
          <w:p w:rsidR="0017153F" w:rsidRPr="00CA1439" w:rsidRDefault="0017153F" w:rsidP="0017153F">
            <w:pPr>
              <w:pStyle w:val="Prrafodelista"/>
              <w:ind w:left="0"/>
              <w:rPr>
                <w:rFonts w:ascii="Arial" w:hAnsi="Arial" w:cs="Arial"/>
              </w:rPr>
            </w:pPr>
          </w:p>
          <w:p w:rsidR="0017153F" w:rsidRPr="00CA1439" w:rsidRDefault="0017153F" w:rsidP="0017153F">
            <w:pPr>
              <w:pStyle w:val="Prrafodelista"/>
              <w:ind w:left="705"/>
              <w:jc w:val="both"/>
              <w:rPr>
                <w:rFonts w:ascii="Arial" w:hAnsi="Arial" w:cs="Arial"/>
              </w:rPr>
            </w:pPr>
            <w:r w:rsidRPr="00CA1439">
              <w:rPr>
                <w:rFonts w:ascii="Arial" w:hAnsi="Arial" w:cs="Arial"/>
              </w:rPr>
              <w:t>Como consecuencia de la caída de ingresos del 52,6% que se ha producido en el periodo 2007 – 2017 debido a la crisis económica y, por tanto, la necesidad de conseguir el equilibrio en la cuenta de resultados de la Sociedad, se ha producido una drástica reducción de los gastos fijos de explotación en relación al 2007, por un importe de 3.559,88 miles de euros, representando una minoración del 67,06% en el período 2007-2019.</w:t>
            </w:r>
          </w:p>
          <w:p w:rsidR="0017153F" w:rsidRPr="00CA1439" w:rsidRDefault="0017153F" w:rsidP="0017153F">
            <w:pPr>
              <w:pStyle w:val="Prrafodelista"/>
              <w:ind w:left="0"/>
              <w:jc w:val="both"/>
              <w:rPr>
                <w:rFonts w:ascii="Arial" w:hAnsi="Arial" w:cs="Arial"/>
              </w:rPr>
            </w:pPr>
          </w:p>
          <w:p w:rsidR="00CA1439" w:rsidRDefault="00CA1439" w:rsidP="0017153F">
            <w:pPr>
              <w:pStyle w:val="Prrafodelista"/>
              <w:ind w:left="705"/>
              <w:jc w:val="both"/>
              <w:rPr>
                <w:rFonts w:ascii="Arial" w:hAnsi="Arial" w:cs="Arial"/>
              </w:rPr>
            </w:pPr>
          </w:p>
          <w:p w:rsidR="0017153F" w:rsidRPr="00CA1439" w:rsidRDefault="0017153F" w:rsidP="0017153F">
            <w:pPr>
              <w:pStyle w:val="Prrafodelista"/>
              <w:ind w:left="705"/>
              <w:jc w:val="both"/>
              <w:rPr>
                <w:rFonts w:ascii="Arial" w:hAnsi="Arial" w:cs="Arial"/>
              </w:rPr>
            </w:pPr>
            <w:bookmarkStart w:id="0" w:name="_GoBack"/>
            <w:bookmarkEnd w:id="0"/>
            <w:r w:rsidRPr="00CA1439">
              <w:rPr>
                <w:rFonts w:ascii="Arial" w:hAnsi="Arial" w:cs="Arial"/>
              </w:rPr>
              <w:t xml:space="preserve">El importe presupuestado para el 2019 significa una cifra similar de los gastos fijos en relación con el estimado para el 2018, cuya evolución y detalle reflejamos a continuación: </w:t>
            </w:r>
          </w:p>
          <w:tbl>
            <w:tblPr>
              <w:tblW w:w="6704" w:type="dxa"/>
              <w:tblInd w:w="1311" w:type="dxa"/>
              <w:tblCellMar>
                <w:left w:w="70" w:type="dxa"/>
                <w:right w:w="70" w:type="dxa"/>
              </w:tblCellMar>
              <w:tblLook w:val="04A0" w:firstRow="1" w:lastRow="0" w:firstColumn="1" w:lastColumn="0" w:noHBand="0" w:noVBand="1"/>
            </w:tblPr>
            <w:tblGrid>
              <w:gridCol w:w="1600"/>
              <w:gridCol w:w="920"/>
              <w:gridCol w:w="146"/>
              <w:gridCol w:w="861"/>
              <w:gridCol w:w="146"/>
              <w:gridCol w:w="1110"/>
              <w:gridCol w:w="146"/>
              <w:gridCol w:w="920"/>
              <w:gridCol w:w="146"/>
              <w:gridCol w:w="920"/>
            </w:tblGrid>
            <w:tr w:rsidR="0017153F" w:rsidRPr="00CA1439" w:rsidTr="005319E9">
              <w:trPr>
                <w:trHeight w:val="282"/>
              </w:trPr>
              <w:tc>
                <w:tcPr>
                  <w:tcW w:w="16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Real</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p>
              </w:tc>
              <w:tc>
                <w:tcPr>
                  <w:tcW w:w="76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Estimado</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p>
              </w:tc>
              <w:tc>
                <w:tcPr>
                  <w:tcW w:w="10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Presupuesto</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Diferencia</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Variación</w:t>
                  </w:r>
                </w:p>
              </w:tc>
            </w:tr>
            <w:tr w:rsidR="0017153F" w:rsidRPr="00CA1439" w:rsidTr="005319E9">
              <w:trPr>
                <w:trHeight w:val="282"/>
              </w:trPr>
              <w:tc>
                <w:tcPr>
                  <w:tcW w:w="16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 x 1000)</w:t>
                  </w:r>
                </w:p>
              </w:tc>
              <w:tc>
                <w:tcPr>
                  <w:tcW w:w="92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2007</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p>
              </w:tc>
              <w:tc>
                <w:tcPr>
                  <w:tcW w:w="76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2018</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p>
              </w:tc>
              <w:tc>
                <w:tcPr>
                  <w:tcW w:w="10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2019</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p>
              </w:tc>
              <w:tc>
                <w:tcPr>
                  <w:tcW w:w="92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2007/2019</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p>
              </w:tc>
              <w:tc>
                <w:tcPr>
                  <w:tcW w:w="92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2019/2007</w:t>
                  </w:r>
                </w:p>
              </w:tc>
            </w:tr>
            <w:tr w:rsidR="0017153F" w:rsidRPr="00CA1439" w:rsidTr="005319E9">
              <w:trPr>
                <w:trHeight w:val="282"/>
              </w:trPr>
              <w:tc>
                <w:tcPr>
                  <w:tcW w:w="16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6"/>
                      <w:szCs w:val="16"/>
                      <w:lang w:eastAsia="es-ES"/>
                    </w:rPr>
                  </w:pPr>
                  <w:r w:rsidRPr="00CA1439">
                    <w:rPr>
                      <w:rFonts w:eastAsia="Times New Roman" w:cs="Arial"/>
                      <w:b/>
                      <w:bCs/>
                      <w:color w:val="000000"/>
                      <w:sz w:val="16"/>
                      <w:szCs w:val="16"/>
                      <w:lang w:eastAsia="es-ES"/>
                    </w:rPr>
                    <w:t>Gastos Personal</w:t>
                  </w: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3.030,93</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7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1.119,98</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10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1.140,56</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-1.890,37</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-62,37%</w:t>
                  </w:r>
                </w:p>
              </w:tc>
            </w:tr>
            <w:tr w:rsidR="0017153F" w:rsidRPr="00CA1439" w:rsidTr="005319E9">
              <w:trPr>
                <w:trHeight w:val="282"/>
              </w:trPr>
              <w:tc>
                <w:tcPr>
                  <w:tcW w:w="16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6"/>
                      <w:szCs w:val="16"/>
                      <w:lang w:eastAsia="es-ES"/>
                    </w:rPr>
                  </w:pPr>
                  <w:r w:rsidRPr="00CA1439">
                    <w:rPr>
                      <w:rFonts w:eastAsia="Times New Roman" w:cs="Arial"/>
                      <w:b/>
                      <w:bCs/>
                      <w:color w:val="000000"/>
                      <w:sz w:val="16"/>
                      <w:szCs w:val="16"/>
                      <w:lang w:eastAsia="es-ES"/>
                    </w:rPr>
                    <w:t>Impuestos Fijos</w:t>
                  </w: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495,70</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7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230,90</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10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223,59</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-272,11</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-54,89%</w:t>
                  </w:r>
                </w:p>
              </w:tc>
            </w:tr>
            <w:tr w:rsidR="0017153F" w:rsidRPr="00CA1439" w:rsidTr="005319E9">
              <w:trPr>
                <w:trHeight w:val="282"/>
              </w:trPr>
              <w:tc>
                <w:tcPr>
                  <w:tcW w:w="16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6"/>
                      <w:szCs w:val="16"/>
                      <w:lang w:eastAsia="es-ES"/>
                    </w:rPr>
                  </w:pPr>
                  <w:r w:rsidRPr="00CA1439">
                    <w:rPr>
                      <w:rFonts w:eastAsia="Times New Roman" w:cs="Arial"/>
                      <w:b/>
                      <w:bCs/>
                      <w:color w:val="000000"/>
                      <w:sz w:val="16"/>
                      <w:szCs w:val="16"/>
                      <w:lang w:eastAsia="es-ES"/>
                    </w:rPr>
                    <w:t>Arrendamientos</w:t>
                  </w: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323,40</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7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94,09</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10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95,46</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-227,94</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-70,48%</w:t>
                  </w:r>
                </w:p>
              </w:tc>
            </w:tr>
            <w:tr w:rsidR="0017153F" w:rsidRPr="00CA1439" w:rsidTr="005319E9">
              <w:trPr>
                <w:trHeight w:val="282"/>
              </w:trPr>
              <w:tc>
                <w:tcPr>
                  <w:tcW w:w="16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6"/>
                      <w:szCs w:val="16"/>
                      <w:lang w:eastAsia="es-ES"/>
                    </w:rPr>
                  </w:pPr>
                  <w:r w:rsidRPr="00CA1439">
                    <w:rPr>
                      <w:rFonts w:eastAsia="Times New Roman" w:cs="Arial"/>
                      <w:b/>
                      <w:bCs/>
                      <w:color w:val="000000"/>
                      <w:sz w:val="16"/>
                      <w:szCs w:val="16"/>
                      <w:lang w:eastAsia="es-ES"/>
                    </w:rPr>
                    <w:t>Servicios Exteriores</w:t>
                  </w: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497,18</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7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127,97</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10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133,31</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-363,87</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-73,19%</w:t>
                  </w:r>
                </w:p>
              </w:tc>
            </w:tr>
            <w:tr w:rsidR="0017153F" w:rsidRPr="00CA1439" w:rsidTr="005319E9">
              <w:trPr>
                <w:trHeight w:val="282"/>
              </w:trPr>
              <w:tc>
                <w:tcPr>
                  <w:tcW w:w="16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6"/>
                      <w:szCs w:val="16"/>
                      <w:lang w:eastAsia="es-ES"/>
                    </w:rPr>
                  </w:pPr>
                  <w:r w:rsidRPr="00CA1439">
                    <w:rPr>
                      <w:rFonts w:eastAsia="Times New Roman" w:cs="Arial"/>
                      <w:b/>
                      <w:bCs/>
                      <w:color w:val="000000"/>
                      <w:sz w:val="16"/>
                      <w:szCs w:val="16"/>
                      <w:lang w:eastAsia="es-ES"/>
                    </w:rPr>
                    <w:t>Publicidad</w:t>
                  </w: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359,01</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7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57,61</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10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58,40</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-300,61</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-83,73%</w:t>
                  </w:r>
                </w:p>
              </w:tc>
            </w:tr>
            <w:tr w:rsidR="0017153F" w:rsidRPr="00CA1439" w:rsidTr="005319E9">
              <w:trPr>
                <w:trHeight w:val="282"/>
              </w:trPr>
              <w:tc>
                <w:tcPr>
                  <w:tcW w:w="16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b/>
                      <w:bCs/>
                      <w:color w:val="000000"/>
                      <w:sz w:val="16"/>
                      <w:szCs w:val="16"/>
                      <w:lang w:eastAsia="es-ES"/>
                    </w:rPr>
                  </w:pPr>
                  <w:r w:rsidRPr="00CA1439">
                    <w:rPr>
                      <w:rFonts w:eastAsia="Times New Roman" w:cs="Arial"/>
                      <w:b/>
                      <w:bCs/>
                      <w:color w:val="000000"/>
                      <w:sz w:val="16"/>
                      <w:szCs w:val="16"/>
                      <w:lang w:eastAsia="es-ES"/>
                    </w:rPr>
                    <w:t>Otros Gastos</w:t>
                  </w: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602,28</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7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112,86</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10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97,30</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-504,98</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p>
              </w:tc>
              <w:tc>
                <w:tcPr>
                  <w:tcW w:w="92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6"/>
                      <w:szCs w:val="16"/>
                      <w:lang w:eastAsia="es-ES"/>
                    </w:rPr>
                  </w:pPr>
                  <w:r w:rsidRPr="00CA1439">
                    <w:rPr>
                      <w:rFonts w:eastAsia="Times New Roman" w:cs="Arial"/>
                      <w:color w:val="000000"/>
                      <w:sz w:val="16"/>
                      <w:szCs w:val="16"/>
                      <w:lang w:eastAsia="es-ES"/>
                    </w:rPr>
                    <w:t>-83,84%</w:t>
                  </w:r>
                </w:p>
              </w:tc>
            </w:tr>
            <w:tr w:rsidR="0017153F" w:rsidRPr="00CA1439" w:rsidTr="005319E9">
              <w:trPr>
                <w:trHeight w:val="282"/>
              </w:trPr>
              <w:tc>
                <w:tcPr>
                  <w:tcW w:w="160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6"/>
                      <w:szCs w:val="16"/>
                      <w:lang w:eastAsia="es-ES"/>
                    </w:rPr>
                  </w:pPr>
                  <w:r w:rsidRPr="00CA1439">
                    <w:rPr>
                      <w:rFonts w:eastAsia="Times New Roman" w:cs="Arial"/>
                      <w:b/>
                      <w:bCs/>
                      <w:color w:val="000000"/>
                      <w:sz w:val="16"/>
                      <w:szCs w:val="16"/>
                      <w:lang w:eastAsia="es-ES"/>
                    </w:rPr>
                    <w:t>TOTAL</w:t>
                  </w:r>
                </w:p>
              </w:tc>
              <w:tc>
                <w:tcPr>
                  <w:tcW w:w="92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r w:rsidRPr="00CA1439">
                    <w:rPr>
                      <w:rFonts w:eastAsia="Times New Roman" w:cs="Arial"/>
                      <w:b/>
                      <w:bCs/>
                      <w:color w:val="000000"/>
                      <w:sz w:val="16"/>
                      <w:szCs w:val="16"/>
                      <w:lang w:eastAsia="es-ES"/>
                    </w:rPr>
                    <w:t>5.308,50</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p>
              </w:tc>
              <w:tc>
                <w:tcPr>
                  <w:tcW w:w="76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r w:rsidRPr="00CA1439">
                    <w:rPr>
                      <w:rFonts w:eastAsia="Times New Roman" w:cs="Arial"/>
                      <w:b/>
                      <w:bCs/>
                      <w:color w:val="000000"/>
                      <w:sz w:val="16"/>
                      <w:szCs w:val="16"/>
                      <w:lang w:eastAsia="es-ES"/>
                    </w:rPr>
                    <w:t>1.743,41</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p>
              </w:tc>
              <w:tc>
                <w:tcPr>
                  <w:tcW w:w="100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r w:rsidRPr="00CA1439">
                    <w:rPr>
                      <w:rFonts w:eastAsia="Times New Roman" w:cs="Arial"/>
                      <w:b/>
                      <w:bCs/>
                      <w:color w:val="000000"/>
                      <w:sz w:val="16"/>
                      <w:szCs w:val="16"/>
                      <w:lang w:eastAsia="es-ES"/>
                    </w:rPr>
                    <w:t>1.748,62</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p>
              </w:tc>
              <w:tc>
                <w:tcPr>
                  <w:tcW w:w="92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r w:rsidRPr="00CA1439">
                    <w:rPr>
                      <w:rFonts w:eastAsia="Times New Roman" w:cs="Arial"/>
                      <w:b/>
                      <w:bCs/>
                      <w:color w:val="000000"/>
                      <w:sz w:val="16"/>
                      <w:szCs w:val="16"/>
                      <w:lang w:eastAsia="es-ES"/>
                    </w:rPr>
                    <w:t>-3.559,88</w:t>
                  </w:r>
                </w:p>
              </w:tc>
              <w:tc>
                <w:tcPr>
                  <w:tcW w:w="146"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p>
              </w:tc>
              <w:tc>
                <w:tcPr>
                  <w:tcW w:w="92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6"/>
                      <w:szCs w:val="16"/>
                      <w:lang w:eastAsia="es-ES"/>
                    </w:rPr>
                  </w:pPr>
                  <w:r w:rsidRPr="00CA1439">
                    <w:rPr>
                      <w:rFonts w:eastAsia="Times New Roman" w:cs="Arial"/>
                      <w:b/>
                      <w:bCs/>
                      <w:color w:val="000000"/>
                      <w:sz w:val="16"/>
                      <w:szCs w:val="16"/>
                      <w:lang w:eastAsia="es-ES"/>
                    </w:rPr>
                    <w:t>-67,06%</w:t>
                  </w:r>
                </w:p>
              </w:tc>
            </w:tr>
          </w:tbl>
          <w:p w:rsidR="0017153F" w:rsidRPr="00CA1439" w:rsidRDefault="0017153F" w:rsidP="0017153F">
            <w:pPr>
              <w:pStyle w:val="Prrafodelista"/>
              <w:ind w:left="0"/>
              <w:rPr>
                <w:rFonts w:ascii="Arial" w:hAnsi="Arial" w:cs="Arial"/>
              </w:rPr>
            </w:pPr>
          </w:p>
          <w:p w:rsidR="0017153F" w:rsidRPr="00CA1439" w:rsidRDefault="0017153F" w:rsidP="0017153F">
            <w:pPr>
              <w:pStyle w:val="Prrafodelista"/>
              <w:ind w:left="0"/>
              <w:rPr>
                <w:rFonts w:ascii="Arial" w:hAnsi="Arial" w:cs="Arial"/>
              </w:rPr>
            </w:pPr>
          </w:p>
          <w:p w:rsidR="0017153F" w:rsidRPr="00CA1439" w:rsidRDefault="0017153F" w:rsidP="0017153F">
            <w:pPr>
              <w:rPr>
                <w:rFonts w:cs="Arial"/>
              </w:rPr>
            </w:pPr>
            <w:r w:rsidRPr="00CA1439">
              <w:rPr>
                <w:rFonts w:cs="Arial"/>
              </w:rPr>
              <w:t>Se detallan a continuación las inversiones previstas para el 2019.</w:t>
            </w:r>
          </w:p>
          <w:p w:rsidR="0017153F" w:rsidRPr="00CA1439" w:rsidRDefault="0017153F" w:rsidP="0017153F">
            <w:pPr>
              <w:rPr>
                <w:rFonts w:cs="Arial"/>
              </w:rPr>
            </w:pPr>
          </w:p>
          <w:tbl>
            <w:tblPr>
              <w:tblW w:w="4040" w:type="dxa"/>
              <w:tblInd w:w="2236" w:type="dxa"/>
              <w:tblCellMar>
                <w:left w:w="70" w:type="dxa"/>
                <w:right w:w="70" w:type="dxa"/>
              </w:tblCellMar>
              <w:tblLook w:val="04A0" w:firstRow="1" w:lastRow="0" w:firstColumn="1" w:lastColumn="0" w:noHBand="0" w:noVBand="1"/>
            </w:tblPr>
            <w:tblGrid>
              <w:gridCol w:w="3180"/>
              <w:gridCol w:w="860"/>
            </w:tblGrid>
            <w:tr w:rsidR="0017153F" w:rsidRPr="00CA1439" w:rsidTr="005319E9">
              <w:trPr>
                <w:trHeight w:val="288"/>
              </w:trPr>
              <w:tc>
                <w:tcPr>
                  <w:tcW w:w="3180" w:type="dxa"/>
                  <w:tcBorders>
                    <w:top w:val="nil"/>
                    <w:left w:val="nil"/>
                    <w:bottom w:val="single" w:sz="4" w:space="0" w:color="auto"/>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 x 1000)</w:t>
                  </w:r>
                </w:p>
              </w:tc>
              <w:tc>
                <w:tcPr>
                  <w:tcW w:w="860" w:type="dxa"/>
                  <w:tcBorders>
                    <w:top w:val="nil"/>
                    <w:left w:val="nil"/>
                    <w:bottom w:val="single" w:sz="4" w:space="0" w:color="auto"/>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 </w:t>
                  </w:r>
                </w:p>
              </w:tc>
            </w:tr>
            <w:tr w:rsidR="0017153F" w:rsidRPr="00CA1439" w:rsidTr="005319E9">
              <w:trPr>
                <w:trHeight w:val="288"/>
              </w:trPr>
              <w:tc>
                <w:tcPr>
                  <w:tcW w:w="3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Sistemas Informáticos</w:t>
                  </w:r>
                </w:p>
              </w:tc>
              <w:tc>
                <w:tcPr>
                  <w:tcW w:w="8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15,0</w:t>
                  </w:r>
                </w:p>
              </w:tc>
            </w:tr>
            <w:tr w:rsidR="0017153F" w:rsidRPr="00CA1439" w:rsidTr="005319E9">
              <w:trPr>
                <w:trHeight w:val="288"/>
              </w:trPr>
              <w:tc>
                <w:tcPr>
                  <w:tcW w:w="3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Equipos de Seguridad</w:t>
                  </w:r>
                </w:p>
              </w:tc>
              <w:tc>
                <w:tcPr>
                  <w:tcW w:w="8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10,0</w:t>
                  </w:r>
                </w:p>
              </w:tc>
            </w:tr>
            <w:tr w:rsidR="0017153F" w:rsidRPr="00CA1439" w:rsidTr="005319E9">
              <w:trPr>
                <w:trHeight w:val="288"/>
              </w:trPr>
              <w:tc>
                <w:tcPr>
                  <w:tcW w:w="3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Máquina Aire Acondicionado</w:t>
                  </w:r>
                </w:p>
              </w:tc>
              <w:tc>
                <w:tcPr>
                  <w:tcW w:w="8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20,0</w:t>
                  </w:r>
                </w:p>
              </w:tc>
            </w:tr>
            <w:tr w:rsidR="0017153F" w:rsidRPr="00CA1439" w:rsidTr="005319E9">
              <w:trPr>
                <w:trHeight w:val="288"/>
              </w:trPr>
              <w:tc>
                <w:tcPr>
                  <w:tcW w:w="3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Máquinas Azar (Reacondicionadas)</w:t>
                  </w:r>
                </w:p>
              </w:tc>
              <w:tc>
                <w:tcPr>
                  <w:tcW w:w="8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150,0</w:t>
                  </w:r>
                </w:p>
              </w:tc>
            </w:tr>
            <w:tr w:rsidR="0017153F" w:rsidRPr="00CA1439" w:rsidTr="005319E9">
              <w:trPr>
                <w:trHeight w:val="288"/>
              </w:trPr>
              <w:tc>
                <w:tcPr>
                  <w:tcW w:w="3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proofErr w:type="spellStart"/>
                  <w:r w:rsidRPr="00CA1439">
                    <w:rPr>
                      <w:rFonts w:eastAsia="Times New Roman" w:cs="Arial"/>
                      <w:color w:val="000000"/>
                      <w:sz w:val="18"/>
                      <w:szCs w:val="18"/>
                      <w:lang w:eastAsia="es-ES"/>
                    </w:rPr>
                    <w:t>Chipper</w:t>
                  </w:r>
                  <w:proofErr w:type="spellEnd"/>
                  <w:r w:rsidRPr="00CA1439">
                    <w:rPr>
                      <w:rFonts w:eastAsia="Times New Roman" w:cs="Arial"/>
                      <w:color w:val="000000"/>
                      <w:sz w:val="18"/>
                      <w:szCs w:val="18"/>
                      <w:lang w:eastAsia="es-ES"/>
                    </w:rPr>
                    <w:t xml:space="preserve"> </w:t>
                  </w:r>
                  <w:proofErr w:type="spellStart"/>
                  <w:r w:rsidRPr="00CA1439">
                    <w:rPr>
                      <w:rFonts w:eastAsia="Times New Roman" w:cs="Arial"/>
                      <w:color w:val="000000"/>
                      <w:sz w:val="18"/>
                      <w:szCs w:val="18"/>
                      <w:lang w:eastAsia="es-ES"/>
                    </w:rPr>
                    <w:t>Champ</w:t>
                  </w:r>
                  <w:proofErr w:type="spellEnd"/>
                </w:p>
              </w:tc>
              <w:tc>
                <w:tcPr>
                  <w:tcW w:w="8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35,0</w:t>
                  </w:r>
                </w:p>
              </w:tc>
            </w:tr>
            <w:tr w:rsidR="0017153F" w:rsidRPr="00CA1439" w:rsidTr="005319E9">
              <w:trPr>
                <w:trHeight w:val="288"/>
              </w:trPr>
              <w:tc>
                <w:tcPr>
                  <w:tcW w:w="31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Varios</w:t>
                  </w:r>
                </w:p>
              </w:tc>
              <w:tc>
                <w:tcPr>
                  <w:tcW w:w="86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50,0</w:t>
                  </w:r>
                </w:p>
              </w:tc>
            </w:tr>
            <w:tr w:rsidR="0017153F" w:rsidRPr="00CA1439" w:rsidTr="005319E9">
              <w:trPr>
                <w:trHeight w:val="288"/>
              </w:trPr>
              <w:tc>
                <w:tcPr>
                  <w:tcW w:w="318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TOTAL</w:t>
                  </w:r>
                </w:p>
              </w:tc>
              <w:tc>
                <w:tcPr>
                  <w:tcW w:w="860" w:type="dxa"/>
                  <w:tcBorders>
                    <w:top w:val="single" w:sz="4" w:space="0" w:color="auto"/>
                    <w:left w:val="nil"/>
                    <w:bottom w:val="single" w:sz="4"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r w:rsidRPr="00CA1439">
                    <w:rPr>
                      <w:rFonts w:eastAsia="Times New Roman" w:cs="Arial"/>
                      <w:b/>
                      <w:bCs/>
                      <w:color w:val="000000"/>
                      <w:sz w:val="18"/>
                      <w:szCs w:val="18"/>
                      <w:lang w:eastAsia="es-ES"/>
                    </w:rPr>
                    <w:t>280,0</w:t>
                  </w:r>
                </w:p>
              </w:tc>
            </w:tr>
          </w:tbl>
          <w:p w:rsidR="0017153F" w:rsidRPr="00CA1439" w:rsidRDefault="0017153F" w:rsidP="0017153F">
            <w:pPr>
              <w:pStyle w:val="Prrafodelista"/>
              <w:ind w:left="0"/>
              <w:rPr>
                <w:rFonts w:ascii="Arial" w:hAnsi="Arial" w:cs="Arial"/>
              </w:rPr>
            </w:pPr>
          </w:p>
          <w:p w:rsidR="0017153F" w:rsidRPr="00CA1439" w:rsidRDefault="0017153F" w:rsidP="0017153F">
            <w:pPr>
              <w:pStyle w:val="Prrafodelista"/>
              <w:ind w:left="0"/>
              <w:rPr>
                <w:rFonts w:ascii="Arial" w:hAnsi="Arial" w:cs="Arial"/>
              </w:rPr>
            </w:pPr>
          </w:p>
          <w:p w:rsidR="0017153F" w:rsidRPr="00CA1439" w:rsidRDefault="0017153F" w:rsidP="0017153F">
            <w:pPr>
              <w:pStyle w:val="Prrafodelista"/>
              <w:ind w:left="0"/>
              <w:rPr>
                <w:rFonts w:ascii="Arial" w:hAnsi="Arial" w:cs="Arial"/>
              </w:rPr>
            </w:pPr>
          </w:p>
          <w:p w:rsidR="0017153F" w:rsidRPr="00CA1439" w:rsidRDefault="0017153F" w:rsidP="0017153F">
            <w:pPr>
              <w:pStyle w:val="Prrafodelista"/>
              <w:numPr>
                <w:ilvl w:val="0"/>
                <w:numId w:val="7"/>
              </w:numPr>
              <w:spacing w:after="200" w:line="276" w:lineRule="auto"/>
              <w:rPr>
                <w:rFonts w:ascii="Arial" w:hAnsi="Arial" w:cs="Arial"/>
                <w:b/>
              </w:rPr>
            </w:pPr>
            <w:r w:rsidRPr="00CA1439">
              <w:rPr>
                <w:rFonts w:ascii="Arial" w:hAnsi="Arial" w:cs="Arial"/>
                <w:b/>
              </w:rPr>
              <w:t xml:space="preserve">Resultados </w:t>
            </w:r>
          </w:p>
          <w:p w:rsidR="0017153F" w:rsidRPr="00CA1439" w:rsidRDefault="0017153F" w:rsidP="0017153F">
            <w:pPr>
              <w:pStyle w:val="Prrafodelista"/>
              <w:rPr>
                <w:rFonts w:ascii="Arial" w:hAnsi="Arial" w:cs="Arial"/>
              </w:rPr>
            </w:pPr>
          </w:p>
          <w:p w:rsidR="0017153F" w:rsidRPr="00CA1439" w:rsidRDefault="0017153F" w:rsidP="0017153F">
            <w:pPr>
              <w:pStyle w:val="Prrafodelista"/>
              <w:jc w:val="both"/>
              <w:rPr>
                <w:rFonts w:ascii="Arial" w:hAnsi="Arial" w:cs="Arial"/>
              </w:rPr>
            </w:pPr>
            <w:r w:rsidRPr="00CA1439">
              <w:rPr>
                <w:rFonts w:ascii="Arial" w:hAnsi="Arial" w:cs="Arial"/>
              </w:rPr>
              <w:t>La consecución de los objetivos previstos nos permitirá obtener los siguientes resultados para el año 2019:</w:t>
            </w:r>
          </w:p>
          <w:p w:rsidR="0017153F" w:rsidRPr="00CA1439" w:rsidRDefault="0017153F" w:rsidP="0017153F">
            <w:pPr>
              <w:pStyle w:val="Prrafodelista"/>
              <w:jc w:val="both"/>
              <w:rPr>
                <w:rFonts w:ascii="Arial" w:hAnsi="Arial" w:cs="Arial"/>
              </w:rPr>
            </w:pPr>
          </w:p>
          <w:p w:rsidR="0017153F" w:rsidRPr="00CA1439" w:rsidRDefault="0017153F" w:rsidP="0017153F">
            <w:pPr>
              <w:pStyle w:val="Prrafodelista"/>
              <w:jc w:val="both"/>
              <w:rPr>
                <w:rFonts w:ascii="Arial" w:hAnsi="Arial" w:cs="Arial"/>
              </w:rPr>
            </w:pPr>
          </w:p>
          <w:tbl>
            <w:tblPr>
              <w:tblW w:w="5651" w:type="dxa"/>
              <w:tblInd w:w="1875" w:type="dxa"/>
              <w:tblCellMar>
                <w:left w:w="70" w:type="dxa"/>
                <w:right w:w="70" w:type="dxa"/>
              </w:tblCellMar>
              <w:tblLook w:val="04A0" w:firstRow="1" w:lastRow="0" w:firstColumn="1" w:lastColumn="0" w:noHBand="0" w:noVBand="1"/>
            </w:tblPr>
            <w:tblGrid>
              <w:gridCol w:w="2380"/>
              <w:gridCol w:w="1100"/>
              <w:gridCol w:w="191"/>
              <w:gridCol w:w="1231"/>
              <w:gridCol w:w="207"/>
              <w:gridCol w:w="700"/>
            </w:tblGrid>
            <w:tr w:rsidR="0017153F" w:rsidRPr="00CA1439" w:rsidTr="005319E9">
              <w:trPr>
                <w:trHeight w:val="288"/>
              </w:trPr>
              <w:tc>
                <w:tcPr>
                  <w:tcW w:w="23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Estimado</w:t>
                  </w:r>
                </w:p>
              </w:tc>
              <w:tc>
                <w:tcPr>
                  <w:tcW w:w="181"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Presupuesto</w:t>
                  </w:r>
                </w:p>
              </w:tc>
              <w:tc>
                <w:tcPr>
                  <w:tcW w:w="19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7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w:t>
                  </w:r>
                </w:p>
              </w:tc>
            </w:tr>
            <w:tr w:rsidR="0017153F" w:rsidRPr="00CA1439" w:rsidTr="005319E9">
              <w:trPr>
                <w:trHeight w:val="288"/>
              </w:trPr>
              <w:tc>
                <w:tcPr>
                  <w:tcW w:w="238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 x 1000)</w:t>
                  </w:r>
                </w:p>
              </w:tc>
              <w:tc>
                <w:tcPr>
                  <w:tcW w:w="11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2018</w:t>
                  </w:r>
                </w:p>
              </w:tc>
              <w:tc>
                <w:tcPr>
                  <w:tcW w:w="181"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2019</w:t>
                  </w:r>
                </w:p>
              </w:tc>
              <w:tc>
                <w:tcPr>
                  <w:tcW w:w="19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700" w:type="dxa"/>
                  <w:tcBorders>
                    <w:top w:val="nil"/>
                    <w:left w:val="nil"/>
                    <w:bottom w:val="single" w:sz="4"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19/18</w:t>
                  </w:r>
                </w:p>
              </w:tc>
            </w:tr>
            <w:tr w:rsidR="0017153F" w:rsidRPr="00CA1439" w:rsidTr="005319E9">
              <w:trPr>
                <w:trHeight w:val="288"/>
              </w:trPr>
              <w:tc>
                <w:tcPr>
                  <w:tcW w:w="238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81"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sz w:val="20"/>
                      <w:szCs w:val="20"/>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c>
                <w:tcPr>
                  <w:tcW w:w="19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sz w:val="20"/>
                      <w:szCs w:val="20"/>
                      <w:lang w:eastAsia="es-ES"/>
                    </w:rPr>
                  </w:pPr>
                </w:p>
              </w:tc>
              <w:tc>
                <w:tcPr>
                  <w:tcW w:w="70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sz w:val="20"/>
                      <w:szCs w:val="20"/>
                      <w:lang w:eastAsia="es-ES"/>
                    </w:rPr>
                  </w:pPr>
                </w:p>
              </w:tc>
            </w:tr>
            <w:tr w:rsidR="0017153F" w:rsidRPr="00CA1439" w:rsidTr="005319E9">
              <w:trPr>
                <w:trHeight w:val="288"/>
              </w:trPr>
              <w:tc>
                <w:tcPr>
                  <w:tcW w:w="23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Margen de Explotación</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349,66</w:t>
                  </w:r>
                </w:p>
              </w:tc>
              <w:tc>
                <w:tcPr>
                  <w:tcW w:w="181"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370,97</w:t>
                  </w:r>
                </w:p>
              </w:tc>
              <w:tc>
                <w:tcPr>
                  <w:tcW w:w="19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7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color w:val="000000"/>
                      <w:sz w:val="18"/>
                      <w:szCs w:val="18"/>
                      <w:lang w:eastAsia="es-ES"/>
                    </w:rPr>
                  </w:pPr>
                  <w:r w:rsidRPr="00CA1439">
                    <w:rPr>
                      <w:rFonts w:eastAsia="Times New Roman" w:cs="Arial"/>
                      <w:color w:val="000000"/>
                      <w:sz w:val="18"/>
                      <w:szCs w:val="18"/>
                      <w:lang w:eastAsia="es-ES"/>
                    </w:rPr>
                    <w:t>6,09</w:t>
                  </w:r>
                </w:p>
              </w:tc>
            </w:tr>
            <w:tr w:rsidR="0017153F" w:rsidRPr="00CA1439" w:rsidTr="005319E9">
              <w:trPr>
                <w:trHeight w:val="288"/>
              </w:trPr>
              <w:tc>
                <w:tcPr>
                  <w:tcW w:w="23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Resultado Actividad</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-510,22</w:t>
                  </w:r>
                </w:p>
              </w:tc>
              <w:tc>
                <w:tcPr>
                  <w:tcW w:w="181"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-515,36</w:t>
                  </w:r>
                </w:p>
              </w:tc>
              <w:tc>
                <w:tcPr>
                  <w:tcW w:w="19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7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color w:val="000000"/>
                      <w:sz w:val="18"/>
                      <w:szCs w:val="18"/>
                      <w:lang w:eastAsia="es-ES"/>
                    </w:rPr>
                  </w:pPr>
                  <w:r w:rsidRPr="00CA1439">
                    <w:rPr>
                      <w:rFonts w:eastAsia="Times New Roman" w:cs="Arial"/>
                      <w:color w:val="000000"/>
                      <w:sz w:val="18"/>
                      <w:szCs w:val="18"/>
                      <w:lang w:eastAsia="es-ES"/>
                    </w:rPr>
                    <w:t>1,01</w:t>
                  </w:r>
                </w:p>
              </w:tc>
            </w:tr>
            <w:tr w:rsidR="0017153F" w:rsidRPr="00CA1439" w:rsidTr="005319E9">
              <w:trPr>
                <w:trHeight w:val="288"/>
              </w:trPr>
              <w:tc>
                <w:tcPr>
                  <w:tcW w:w="2380" w:type="dxa"/>
                  <w:tcBorders>
                    <w:top w:val="nil"/>
                    <w:left w:val="nil"/>
                    <w:bottom w:val="nil"/>
                    <w:right w:val="nil"/>
                  </w:tcBorders>
                  <w:shd w:val="clear" w:color="auto" w:fill="auto"/>
                  <w:noWrap/>
                  <w:vAlign w:val="bottom"/>
                  <w:hideMark/>
                </w:tcPr>
                <w:p w:rsidR="0017153F" w:rsidRPr="00CA1439" w:rsidRDefault="0017153F" w:rsidP="005319E9">
                  <w:pPr>
                    <w:rPr>
                      <w:rFonts w:eastAsia="Times New Roman" w:cs="Arial"/>
                      <w:color w:val="000000"/>
                      <w:sz w:val="18"/>
                      <w:szCs w:val="18"/>
                      <w:lang w:eastAsia="es-ES"/>
                    </w:rPr>
                  </w:pPr>
                  <w:r w:rsidRPr="00CA1439">
                    <w:rPr>
                      <w:rFonts w:eastAsia="Times New Roman" w:cs="Arial"/>
                      <w:color w:val="000000"/>
                      <w:sz w:val="18"/>
                      <w:szCs w:val="18"/>
                      <w:lang w:eastAsia="es-ES"/>
                    </w:rPr>
                    <w:t>Operaciones del Grupo</w:t>
                  </w: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2.320,53</w:t>
                  </w:r>
                </w:p>
              </w:tc>
              <w:tc>
                <w:tcPr>
                  <w:tcW w:w="181"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110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r w:rsidRPr="00CA1439">
                    <w:rPr>
                      <w:rFonts w:eastAsia="Times New Roman" w:cs="Arial"/>
                      <w:color w:val="000000"/>
                      <w:sz w:val="18"/>
                      <w:szCs w:val="18"/>
                      <w:lang w:eastAsia="es-ES"/>
                    </w:rPr>
                    <w:t>2.420,00</w:t>
                  </w:r>
                </w:p>
              </w:tc>
              <w:tc>
                <w:tcPr>
                  <w:tcW w:w="190" w:type="dxa"/>
                  <w:tcBorders>
                    <w:top w:val="nil"/>
                    <w:left w:val="nil"/>
                    <w:bottom w:val="nil"/>
                    <w:right w:val="nil"/>
                  </w:tcBorders>
                  <w:shd w:val="clear" w:color="auto" w:fill="auto"/>
                  <w:noWrap/>
                  <w:vAlign w:val="bottom"/>
                  <w:hideMark/>
                </w:tcPr>
                <w:p w:rsidR="0017153F" w:rsidRPr="00CA1439" w:rsidRDefault="0017153F" w:rsidP="005319E9">
                  <w:pPr>
                    <w:jc w:val="right"/>
                    <w:rPr>
                      <w:rFonts w:eastAsia="Times New Roman" w:cs="Arial"/>
                      <w:color w:val="000000"/>
                      <w:sz w:val="18"/>
                      <w:szCs w:val="18"/>
                      <w:lang w:eastAsia="es-ES"/>
                    </w:rPr>
                  </w:pPr>
                </w:p>
              </w:tc>
              <w:tc>
                <w:tcPr>
                  <w:tcW w:w="700" w:type="dxa"/>
                  <w:tcBorders>
                    <w:top w:val="nil"/>
                    <w:left w:val="nil"/>
                    <w:bottom w:val="nil"/>
                    <w:right w:val="nil"/>
                  </w:tcBorders>
                  <w:shd w:val="clear" w:color="auto" w:fill="auto"/>
                  <w:noWrap/>
                  <w:vAlign w:val="bottom"/>
                  <w:hideMark/>
                </w:tcPr>
                <w:p w:rsidR="0017153F" w:rsidRPr="00CA1439" w:rsidRDefault="0017153F" w:rsidP="005319E9">
                  <w:pPr>
                    <w:jc w:val="center"/>
                    <w:rPr>
                      <w:rFonts w:eastAsia="Times New Roman" w:cs="Arial"/>
                      <w:color w:val="000000"/>
                      <w:sz w:val="18"/>
                      <w:szCs w:val="18"/>
                      <w:lang w:eastAsia="es-ES"/>
                    </w:rPr>
                  </w:pPr>
                  <w:r w:rsidRPr="00CA1439">
                    <w:rPr>
                      <w:rFonts w:eastAsia="Times New Roman" w:cs="Arial"/>
                      <w:color w:val="000000"/>
                      <w:sz w:val="18"/>
                      <w:szCs w:val="18"/>
                      <w:lang w:eastAsia="es-ES"/>
                    </w:rPr>
                    <w:t>4,29</w:t>
                  </w:r>
                </w:p>
              </w:tc>
            </w:tr>
            <w:tr w:rsidR="0017153F" w:rsidRPr="00CA1439" w:rsidTr="005319E9">
              <w:trPr>
                <w:trHeight w:val="300"/>
              </w:trPr>
              <w:tc>
                <w:tcPr>
                  <w:tcW w:w="2380" w:type="dxa"/>
                  <w:tcBorders>
                    <w:top w:val="single" w:sz="4" w:space="0" w:color="auto"/>
                    <w:left w:val="nil"/>
                    <w:bottom w:val="double" w:sz="6" w:space="0" w:color="auto"/>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Resultado Contable</w:t>
                  </w:r>
                </w:p>
              </w:tc>
              <w:tc>
                <w:tcPr>
                  <w:tcW w:w="1100" w:type="dxa"/>
                  <w:tcBorders>
                    <w:top w:val="single" w:sz="4" w:space="0" w:color="auto"/>
                    <w:left w:val="nil"/>
                    <w:bottom w:val="double" w:sz="6"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r w:rsidRPr="00CA1439">
                    <w:rPr>
                      <w:rFonts w:eastAsia="Times New Roman" w:cs="Arial"/>
                      <w:b/>
                      <w:bCs/>
                      <w:color w:val="000000"/>
                      <w:sz w:val="18"/>
                      <w:szCs w:val="18"/>
                      <w:lang w:eastAsia="es-ES"/>
                    </w:rPr>
                    <w:t>1.762,97</w:t>
                  </w:r>
                </w:p>
              </w:tc>
              <w:tc>
                <w:tcPr>
                  <w:tcW w:w="181" w:type="dxa"/>
                  <w:tcBorders>
                    <w:top w:val="single" w:sz="4" w:space="0" w:color="auto"/>
                    <w:left w:val="nil"/>
                    <w:bottom w:val="double" w:sz="6" w:space="0" w:color="auto"/>
                    <w:right w:val="nil"/>
                  </w:tcBorders>
                  <w:shd w:val="clear" w:color="auto" w:fill="auto"/>
                  <w:noWrap/>
                  <w:vAlign w:val="bottom"/>
                  <w:hideMark/>
                </w:tcPr>
                <w:p w:rsidR="0017153F" w:rsidRPr="00CA1439" w:rsidRDefault="0017153F" w:rsidP="005319E9">
                  <w:pPr>
                    <w:rPr>
                      <w:rFonts w:eastAsia="Times New Roman" w:cs="Arial"/>
                      <w:b/>
                      <w:bCs/>
                      <w:color w:val="000000"/>
                      <w:sz w:val="18"/>
                      <w:szCs w:val="18"/>
                      <w:lang w:eastAsia="es-ES"/>
                    </w:rPr>
                  </w:pPr>
                  <w:r w:rsidRPr="00CA1439">
                    <w:rPr>
                      <w:rFonts w:eastAsia="Times New Roman" w:cs="Arial"/>
                      <w:b/>
                      <w:bCs/>
                      <w:color w:val="000000"/>
                      <w:sz w:val="18"/>
                      <w:szCs w:val="18"/>
                      <w:lang w:eastAsia="es-ES"/>
                    </w:rPr>
                    <w:t> </w:t>
                  </w:r>
                </w:p>
              </w:tc>
              <w:tc>
                <w:tcPr>
                  <w:tcW w:w="1100" w:type="dxa"/>
                  <w:tcBorders>
                    <w:top w:val="single" w:sz="4" w:space="0" w:color="auto"/>
                    <w:left w:val="nil"/>
                    <w:bottom w:val="double" w:sz="6" w:space="0" w:color="auto"/>
                    <w:right w:val="nil"/>
                  </w:tcBorders>
                  <w:shd w:val="clear" w:color="auto" w:fill="auto"/>
                  <w:noWrap/>
                  <w:vAlign w:val="bottom"/>
                  <w:hideMark/>
                </w:tcPr>
                <w:p w:rsidR="0017153F" w:rsidRPr="00CA1439" w:rsidRDefault="0017153F" w:rsidP="005319E9">
                  <w:pPr>
                    <w:jc w:val="right"/>
                    <w:rPr>
                      <w:rFonts w:eastAsia="Times New Roman" w:cs="Arial"/>
                      <w:b/>
                      <w:bCs/>
                      <w:color w:val="000000"/>
                      <w:sz w:val="18"/>
                      <w:szCs w:val="18"/>
                      <w:lang w:eastAsia="es-ES"/>
                    </w:rPr>
                  </w:pPr>
                  <w:r w:rsidRPr="00CA1439">
                    <w:rPr>
                      <w:rFonts w:eastAsia="Times New Roman" w:cs="Arial"/>
                      <w:b/>
                      <w:bCs/>
                      <w:color w:val="000000"/>
                      <w:sz w:val="18"/>
                      <w:szCs w:val="18"/>
                      <w:lang w:eastAsia="es-ES"/>
                    </w:rPr>
                    <w:t>1.852,35</w:t>
                  </w:r>
                </w:p>
              </w:tc>
              <w:tc>
                <w:tcPr>
                  <w:tcW w:w="190" w:type="dxa"/>
                  <w:tcBorders>
                    <w:top w:val="single" w:sz="4" w:space="0" w:color="auto"/>
                    <w:left w:val="nil"/>
                    <w:bottom w:val="double" w:sz="6" w:space="0" w:color="auto"/>
                    <w:right w:val="nil"/>
                  </w:tcBorders>
                  <w:shd w:val="clear" w:color="auto" w:fill="auto"/>
                  <w:noWrap/>
                  <w:vAlign w:val="bottom"/>
                  <w:hideMark/>
                </w:tcPr>
                <w:p w:rsidR="0017153F" w:rsidRPr="00CA1439" w:rsidRDefault="0017153F" w:rsidP="005319E9">
                  <w:pPr>
                    <w:rPr>
                      <w:rFonts w:eastAsia="Times New Roman" w:cs="Arial"/>
                      <w:color w:val="000000"/>
                      <w:lang w:eastAsia="es-ES"/>
                    </w:rPr>
                  </w:pPr>
                  <w:r w:rsidRPr="00CA1439">
                    <w:rPr>
                      <w:rFonts w:eastAsia="Times New Roman" w:cs="Arial"/>
                      <w:color w:val="000000"/>
                      <w:lang w:eastAsia="es-ES"/>
                    </w:rPr>
                    <w:t> </w:t>
                  </w:r>
                </w:p>
              </w:tc>
              <w:tc>
                <w:tcPr>
                  <w:tcW w:w="700" w:type="dxa"/>
                  <w:tcBorders>
                    <w:top w:val="single" w:sz="4" w:space="0" w:color="auto"/>
                    <w:left w:val="nil"/>
                    <w:bottom w:val="double" w:sz="6" w:space="0" w:color="auto"/>
                    <w:right w:val="nil"/>
                  </w:tcBorders>
                  <w:shd w:val="clear" w:color="auto" w:fill="auto"/>
                  <w:noWrap/>
                  <w:vAlign w:val="bottom"/>
                  <w:hideMark/>
                </w:tcPr>
                <w:p w:rsidR="0017153F" w:rsidRPr="00CA1439" w:rsidRDefault="0017153F" w:rsidP="005319E9">
                  <w:pPr>
                    <w:jc w:val="center"/>
                    <w:rPr>
                      <w:rFonts w:eastAsia="Times New Roman" w:cs="Arial"/>
                      <w:b/>
                      <w:bCs/>
                      <w:color w:val="000000"/>
                      <w:sz w:val="18"/>
                      <w:szCs w:val="18"/>
                      <w:lang w:eastAsia="es-ES"/>
                    </w:rPr>
                  </w:pPr>
                  <w:r w:rsidRPr="00CA1439">
                    <w:rPr>
                      <w:rFonts w:eastAsia="Times New Roman" w:cs="Arial"/>
                      <w:b/>
                      <w:bCs/>
                      <w:color w:val="000000"/>
                      <w:sz w:val="18"/>
                      <w:szCs w:val="18"/>
                      <w:lang w:eastAsia="es-ES"/>
                    </w:rPr>
                    <w:t>5,07</w:t>
                  </w:r>
                </w:p>
              </w:tc>
            </w:tr>
          </w:tbl>
          <w:p w:rsidR="00B01809" w:rsidRPr="00CA1439" w:rsidRDefault="00B01809" w:rsidP="00E55BDB">
            <w:pPr>
              <w:spacing w:before="0"/>
              <w:rPr>
                <w:rFonts w:cs="Arial"/>
                <w:b/>
                <w:color w:val="FF0000"/>
                <w:sz w:val="20"/>
                <w:szCs w:val="20"/>
              </w:rPr>
            </w:pPr>
          </w:p>
        </w:tc>
      </w:tr>
    </w:tbl>
    <w:p w:rsidR="00CC19DF" w:rsidRPr="00CA1439" w:rsidRDefault="00CC19DF" w:rsidP="00EF579A">
      <w:pPr>
        <w:tabs>
          <w:tab w:val="left" w:pos="1439"/>
          <w:tab w:val="left" w:pos="2879"/>
          <w:tab w:val="left" w:pos="4319"/>
          <w:tab w:val="left" w:pos="5759"/>
        </w:tabs>
        <w:spacing w:before="60" w:after="60"/>
        <w:jc w:val="center"/>
        <w:rPr>
          <w:rFonts w:cs="Arial"/>
        </w:rPr>
      </w:pPr>
    </w:p>
    <w:p w:rsidR="00CC19DF" w:rsidRPr="00CA1439" w:rsidRDefault="00CC19DF" w:rsidP="00EF579A">
      <w:pPr>
        <w:tabs>
          <w:tab w:val="left" w:pos="1439"/>
          <w:tab w:val="left" w:pos="2879"/>
          <w:tab w:val="left" w:pos="4319"/>
          <w:tab w:val="left" w:pos="5759"/>
        </w:tabs>
        <w:spacing w:before="60" w:after="60"/>
        <w:jc w:val="center"/>
        <w:rPr>
          <w:rFonts w:cs="Arial"/>
        </w:rPr>
      </w:pPr>
    </w:p>
    <w:sectPr w:rsidR="00CC19DF" w:rsidRPr="00CA1439" w:rsidSect="00161655">
      <w:headerReference w:type="default" r:id="rId10"/>
      <w:footerReference w:type="default" r:id="rId11"/>
      <w:footerReference w:type="first" r:id="rId12"/>
      <w:pgSz w:w="11900" w:h="16840" w:code="9"/>
      <w:pgMar w:top="714" w:right="851" w:bottom="1701" w:left="1418" w:header="567" w:footer="552" w:gutter="0"/>
      <w:cols w:space="708"/>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Manifest>
    <wne:toolbarData r:id="rId1"/>
  </wne:toolbars>
  <wne:acds>
    <wne:acd wne:argValue="AQAAAAAA" wne:acdName="acd0" wne:fciIndexBasedOn="0065"/>
    <wne:acd wne:argValue="AgBBAHIAZQBhAA==" wne:acdName="acd1" wne:fciIndexBasedOn="0065"/>
    <wne:acd wne:acdName="acd2" wne:fciIndexBasedOn="0065"/>
    <wne:acd wne:argValue="AQAAAEAA" wne:acdName="acd3" wne:fciIndexBasedOn="0065"/>
    <wne:acd wne:argValue="AQAAAAEA" wne:acdName="acd4" wne:fciIndexBasedOn="0065"/>
    <wne:acd wne:argValue="AQAAAAIA" wne:acdName="acd5" wne:fciIndexBasedOn="0065"/>
    <wne:acd wne:acdName="acd6" wne:fciIndexBasedOn="0065"/>
    <wne:acd wne:argValue="AgBUAO0AdAB1AGwAbwBfAEIAbwByAGQAZQ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E1" w:rsidRDefault="009E0CE1">
      <w:r>
        <w:separator/>
      </w:r>
    </w:p>
  </w:endnote>
  <w:endnote w:type="continuationSeparator" w:id="0">
    <w:p w:rsidR="009E0CE1" w:rsidRDefault="009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8B" w:rsidRPr="001E31B1" w:rsidRDefault="0007138B" w:rsidP="00161655">
    <w:pPr>
      <w:pStyle w:val="Piedepgina"/>
      <w:pBdr>
        <w:top w:val="single" w:sz="8" w:space="1" w:color="auto"/>
      </w:pBdr>
    </w:pPr>
    <w:r w:rsidRPr="001E31B1">
      <w:t>Plaza de España, 1</w:t>
    </w:r>
  </w:p>
  <w:p w:rsidR="0007138B" w:rsidRPr="001E31B1" w:rsidRDefault="0007138B" w:rsidP="00161655">
    <w:pPr>
      <w:pStyle w:val="Piedepgina"/>
    </w:pPr>
    <w:r w:rsidRPr="001E31B1">
      <w:t>38003 Santa Cruz de Tenerife</w:t>
    </w:r>
  </w:p>
  <w:p w:rsidR="0007138B" w:rsidRDefault="0007138B" w:rsidP="00161655">
    <w:pPr>
      <w:pStyle w:val="Piedepgina"/>
    </w:pPr>
    <w:r>
      <w:t>Teléfono</w:t>
    </w:r>
    <w:r w:rsidRPr="001E31B1">
      <w:t>: 901 501 901www.tenerife.es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8B" w:rsidRPr="00770D32" w:rsidRDefault="0007138B" w:rsidP="00161655">
    <w:pPr>
      <w:pStyle w:val="Piedepgina"/>
      <w:pBdr>
        <w:top w:val="single" w:sz="8" w:space="1" w:color="auto"/>
      </w:pBdr>
      <w:rPr>
        <w:sz w:val="14"/>
        <w:szCs w:val="14"/>
      </w:rPr>
    </w:pPr>
    <w:r w:rsidRPr="00770D32">
      <w:rPr>
        <w:sz w:val="14"/>
        <w:szCs w:val="14"/>
      </w:rPr>
      <w:t>Plaza de España, 1</w:t>
    </w:r>
    <w:r>
      <w:rPr>
        <w:sz w:val="14"/>
        <w:szCs w:val="14"/>
      </w:rPr>
      <w:tab/>
    </w:r>
    <w:r>
      <w:rPr>
        <w:rStyle w:val="Nmerodepgina"/>
      </w:rPr>
      <w:fldChar w:fldCharType="begin"/>
    </w:r>
    <w:r>
      <w:rPr>
        <w:rStyle w:val="Nmerodepgina"/>
      </w:rPr>
      <w:instrText xml:space="preserve"> PAGE </w:instrText>
    </w:r>
    <w:r>
      <w:rPr>
        <w:rStyle w:val="Nmerodepgina"/>
      </w:rPr>
      <w:fldChar w:fldCharType="separate"/>
    </w:r>
    <w:r w:rsidR="00CA1439">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CA1439">
      <w:rPr>
        <w:rStyle w:val="Nmerodepgina"/>
        <w:noProof/>
      </w:rPr>
      <w:t>4</w:t>
    </w:r>
    <w:r>
      <w:rPr>
        <w:rStyle w:val="Nmerodepgina"/>
      </w:rPr>
      <w:fldChar w:fldCharType="end"/>
    </w:r>
  </w:p>
  <w:p w:rsidR="0007138B" w:rsidRPr="00770D32" w:rsidRDefault="0007138B" w:rsidP="00F2599E">
    <w:pPr>
      <w:pStyle w:val="Piedepgina"/>
      <w:rPr>
        <w:sz w:val="14"/>
        <w:szCs w:val="14"/>
      </w:rPr>
    </w:pPr>
    <w:r w:rsidRPr="00770D32">
      <w:rPr>
        <w:sz w:val="14"/>
        <w:szCs w:val="14"/>
      </w:rPr>
      <w:t>38003 Santa Cruz de Tenerife</w:t>
    </w:r>
  </w:p>
  <w:p w:rsidR="0007138B" w:rsidRPr="00770D32" w:rsidRDefault="0007138B" w:rsidP="00F2599E">
    <w:pPr>
      <w:pStyle w:val="Piedepgina"/>
      <w:rPr>
        <w:sz w:val="14"/>
        <w:szCs w:val="14"/>
      </w:rPr>
    </w:pPr>
    <w:r w:rsidRPr="00770D32">
      <w:rPr>
        <w:sz w:val="14"/>
        <w:szCs w:val="14"/>
      </w:rPr>
      <w:t xml:space="preserve">Teléfono: </w:t>
    </w:r>
    <w:smartTag w:uri="urn:schemas-microsoft-com:office:smarttags" w:element="phone">
      <w:smartTagPr>
        <w:attr w:uri="urn:schemas-microsoft-com:office:office" w:name="ls" w:val="trans"/>
      </w:smartTagPr>
      <w:r w:rsidRPr="00770D32">
        <w:rPr>
          <w:sz w:val="14"/>
          <w:szCs w:val="14"/>
        </w:rPr>
        <w:t>901 501 901</w:t>
      </w:r>
    </w:smartTag>
  </w:p>
  <w:p w:rsidR="0007138B" w:rsidRPr="00770D32" w:rsidRDefault="0007138B" w:rsidP="00F2599E">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E1" w:rsidRDefault="009E0CE1">
      <w:r>
        <w:separator/>
      </w:r>
    </w:p>
  </w:footnote>
  <w:footnote w:type="continuationSeparator" w:id="0">
    <w:p w:rsidR="009E0CE1" w:rsidRDefault="009E0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07138B">
      <w:trPr>
        <w:trHeight w:val="1069"/>
      </w:trPr>
      <w:tc>
        <w:tcPr>
          <w:tcW w:w="9771" w:type="dxa"/>
          <w:tcBorders>
            <w:top w:val="nil"/>
            <w:left w:val="nil"/>
            <w:bottom w:val="single" w:sz="8" w:space="0" w:color="auto"/>
            <w:right w:val="nil"/>
          </w:tcBorders>
        </w:tcPr>
        <w:p w:rsidR="0007138B" w:rsidRPr="00B97F5E" w:rsidRDefault="00DD025E" w:rsidP="002602AC">
          <w:pPr>
            <w:pStyle w:val="Encabezado"/>
            <w:rPr>
              <w:rFonts w:ascii="Cambria" w:hAnsi="Cambria"/>
              <w:sz w:val="20"/>
              <w:szCs w:val="20"/>
              <w:lang w:val="es-ES" w:eastAsia="es-ES"/>
            </w:rPr>
          </w:pPr>
          <w:r>
            <w:rPr>
              <w:noProof/>
              <w:lang w:val="es-ES" w:eastAsia="es-ES"/>
            </w:rPr>
            <w:drawing>
              <wp:inline distT="0" distB="0" distL="0" distR="0">
                <wp:extent cx="533400" cy="716280"/>
                <wp:effectExtent l="0" t="0" r="0" b="762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16280"/>
                        </a:xfrm>
                        <a:prstGeom prst="rect">
                          <a:avLst/>
                        </a:prstGeom>
                        <a:noFill/>
                        <a:ln>
                          <a:noFill/>
                        </a:ln>
                      </pic:spPr>
                    </pic:pic>
                  </a:graphicData>
                </a:graphic>
              </wp:inline>
            </w:drawing>
          </w:r>
        </w:p>
      </w:tc>
    </w:tr>
  </w:tbl>
  <w:p w:rsidR="0007138B" w:rsidRPr="002602AC" w:rsidRDefault="0007138B" w:rsidP="002602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542B"/>
    <w:multiLevelType w:val="hybridMultilevel"/>
    <w:tmpl w:val="83FAB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15769E"/>
    <w:multiLevelType w:val="hybridMultilevel"/>
    <w:tmpl w:val="CCCEA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4903E38"/>
    <w:multiLevelType w:val="hybridMultilevel"/>
    <w:tmpl w:val="DF2ACBD8"/>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4E2236EE"/>
    <w:multiLevelType w:val="hybridMultilevel"/>
    <w:tmpl w:val="0E7C16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9F6447"/>
    <w:multiLevelType w:val="hybridMultilevel"/>
    <w:tmpl w:val="A2029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4C51715"/>
    <w:multiLevelType w:val="hybridMultilevel"/>
    <w:tmpl w:val="857A0A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915480"/>
    <w:multiLevelType w:val="hybridMultilevel"/>
    <w:tmpl w:val="CE6ED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6F093B"/>
    <w:multiLevelType w:val="hybridMultilevel"/>
    <w:tmpl w:val="79D66AC2"/>
    <w:lvl w:ilvl="0" w:tplc="0C0A000F">
      <w:start w:val="1"/>
      <w:numFmt w:val="decimal"/>
      <w:lvlText w:val="%1."/>
      <w:lvlJc w:val="left"/>
      <w:pPr>
        <w:tabs>
          <w:tab w:val="num" w:pos="360"/>
        </w:tabs>
        <w:ind w:left="360" w:hanging="360"/>
      </w:pPr>
    </w:lvl>
    <w:lvl w:ilvl="1" w:tplc="AD9824D4">
      <w:start w:val="1"/>
      <w:numFmt w:val="lowerLetter"/>
      <w:lvlText w:val="%2)"/>
      <w:lvlJc w:val="left"/>
      <w:pPr>
        <w:tabs>
          <w:tab w:val="num" w:pos="1440"/>
        </w:tabs>
        <w:ind w:left="1440" w:hanging="360"/>
      </w:pPr>
      <w:rPr>
        <w:rFonts w:hint="default"/>
      </w:rPr>
    </w:lvl>
    <w:lvl w:ilvl="2" w:tplc="0C0A0001">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0"/>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Type w:val="letter"/>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7E"/>
    <w:rsid w:val="00056FEA"/>
    <w:rsid w:val="0006074F"/>
    <w:rsid w:val="0007138B"/>
    <w:rsid w:val="0008062D"/>
    <w:rsid w:val="00093714"/>
    <w:rsid w:val="00097733"/>
    <w:rsid w:val="000A71A9"/>
    <w:rsid w:val="000F7256"/>
    <w:rsid w:val="000F7A0C"/>
    <w:rsid w:val="00133D04"/>
    <w:rsid w:val="00140ED8"/>
    <w:rsid w:val="00144B6A"/>
    <w:rsid w:val="00161655"/>
    <w:rsid w:val="0017153F"/>
    <w:rsid w:val="00181301"/>
    <w:rsid w:val="001E300B"/>
    <w:rsid w:val="00224A90"/>
    <w:rsid w:val="002449DE"/>
    <w:rsid w:val="00252E7B"/>
    <w:rsid w:val="002602AC"/>
    <w:rsid w:val="002970EC"/>
    <w:rsid w:val="002C05B2"/>
    <w:rsid w:val="002C6FEA"/>
    <w:rsid w:val="00380B30"/>
    <w:rsid w:val="00411B1D"/>
    <w:rsid w:val="00455EE8"/>
    <w:rsid w:val="00484C35"/>
    <w:rsid w:val="00491058"/>
    <w:rsid w:val="004A1BAC"/>
    <w:rsid w:val="004F77A4"/>
    <w:rsid w:val="0050277E"/>
    <w:rsid w:val="00577F4F"/>
    <w:rsid w:val="005A4480"/>
    <w:rsid w:val="00631F47"/>
    <w:rsid w:val="00643780"/>
    <w:rsid w:val="00663A9F"/>
    <w:rsid w:val="00691AC2"/>
    <w:rsid w:val="006F1211"/>
    <w:rsid w:val="00706BC1"/>
    <w:rsid w:val="00710EC5"/>
    <w:rsid w:val="0077097D"/>
    <w:rsid w:val="00770D32"/>
    <w:rsid w:val="00783AB0"/>
    <w:rsid w:val="007F51F7"/>
    <w:rsid w:val="0081666F"/>
    <w:rsid w:val="008C1636"/>
    <w:rsid w:val="009516B2"/>
    <w:rsid w:val="0095486B"/>
    <w:rsid w:val="00960674"/>
    <w:rsid w:val="009B0953"/>
    <w:rsid w:val="009C344E"/>
    <w:rsid w:val="009D739C"/>
    <w:rsid w:val="009E0CE1"/>
    <w:rsid w:val="00A22581"/>
    <w:rsid w:val="00A26DE5"/>
    <w:rsid w:val="00A508D2"/>
    <w:rsid w:val="00A6003F"/>
    <w:rsid w:val="00AA014F"/>
    <w:rsid w:val="00AA18FB"/>
    <w:rsid w:val="00AC1550"/>
    <w:rsid w:val="00B01809"/>
    <w:rsid w:val="00B40E42"/>
    <w:rsid w:val="00B97F5E"/>
    <w:rsid w:val="00C2279D"/>
    <w:rsid w:val="00C251CF"/>
    <w:rsid w:val="00C27DF2"/>
    <w:rsid w:val="00C3412D"/>
    <w:rsid w:val="00C456BD"/>
    <w:rsid w:val="00C63804"/>
    <w:rsid w:val="00C71768"/>
    <w:rsid w:val="00C80964"/>
    <w:rsid w:val="00C95B06"/>
    <w:rsid w:val="00CA1439"/>
    <w:rsid w:val="00CC19DF"/>
    <w:rsid w:val="00CE3068"/>
    <w:rsid w:val="00CF1ADB"/>
    <w:rsid w:val="00D152FE"/>
    <w:rsid w:val="00D46890"/>
    <w:rsid w:val="00D636F5"/>
    <w:rsid w:val="00DD025E"/>
    <w:rsid w:val="00E05401"/>
    <w:rsid w:val="00E417F4"/>
    <w:rsid w:val="00E55BDB"/>
    <w:rsid w:val="00E84F9C"/>
    <w:rsid w:val="00EB1D61"/>
    <w:rsid w:val="00EF579A"/>
    <w:rsid w:val="00F2599E"/>
    <w:rsid w:val="00F87FF6"/>
    <w:rsid w:val="00FA685B"/>
    <w:rsid w:val="00FD2BD7"/>
    <w:rsid w:val="00FF3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style>
  <w:style w:type="paragraph" w:styleId="Cierre">
    <w:name w:val="Closing"/>
    <w:basedOn w:val="Normal"/>
    <w:unhideWhenUsed/>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655"/>
    <w:pPr>
      <w:spacing w:before="240"/>
      <w:jc w:val="both"/>
    </w:pPr>
    <w:rPr>
      <w:rFonts w:ascii="Arial" w:hAnsi="Arial"/>
      <w:sz w:val="24"/>
      <w:szCs w:val="24"/>
      <w:lang w:val="es-ES_tradnl" w:eastAsia="en-US"/>
    </w:rPr>
  </w:style>
  <w:style w:type="paragraph" w:styleId="Ttulo1">
    <w:name w:val="heading 1"/>
    <w:basedOn w:val="Normal"/>
    <w:next w:val="Normal"/>
    <w:qFormat/>
    <w:rsid w:val="00C251CF"/>
    <w:pPr>
      <w:outlineLvl w:val="0"/>
    </w:pPr>
    <w:rPr>
      <w:rFonts w:cs="Arial"/>
      <w:b/>
      <w:bCs/>
      <w:sz w:val="32"/>
      <w:lang w:val="es-ES"/>
    </w:rPr>
  </w:style>
  <w:style w:type="paragraph" w:styleId="Ttulo2">
    <w:name w:val="heading 2"/>
    <w:basedOn w:val="Normal"/>
    <w:next w:val="Normal"/>
    <w:qFormat/>
    <w:rsid w:val="00C251CF"/>
    <w:pPr>
      <w:spacing w:before="120" w:after="60"/>
      <w:outlineLvl w:val="1"/>
    </w:pPr>
    <w:rPr>
      <w:rFonts w:cs="Arial"/>
      <w:bCs/>
      <w:iCs/>
      <w:sz w:val="28"/>
      <w:szCs w:val="28"/>
    </w:rPr>
  </w:style>
  <w:style w:type="paragraph" w:styleId="Ttulo3">
    <w:name w:val="heading 3"/>
    <w:basedOn w:val="Normal"/>
    <w:next w:val="Normal"/>
    <w:qFormat/>
    <w:rsid w:val="00C251CF"/>
    <w:pPr>
      <w:spacing w:after="60"/>
      <w:outlineLvl w:val="2"/>
    </w:pPr>
    <w:rPr>
      <w:rFonts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9D739C"/>
    <w:pPr>
      <w:shd w:val="clear" w:color="auto" w:fill="000080"/>
    </w:pPr>
    <w:rPr>
      <w:rFonts w:ascii="Tahoma" w:hAnsi="Tahoma" w:cs="Tahoma"/>
      <w:sz w:val="20"/>
      <w:szCs w:val="20"/>
    </w:rPr>
  </w:style>
  <w:style w:type="paragraph" w:styleId="Fecha">
    <w:name w:val="Date"/>
    <w:basedOn w:val="Normal"/>
    <w:next w:val="Normal"/>
    <w:unhideWhenUsed/>
  </w:style>
  <w:style w:type="paragraph" w:styleId="Cierre">
    <w:name w:val="Closing"/>
    <w:basedOn w:val="Normal"/>
    <w:unhideWhenUsed/>
  </w:style>
  <w:style w:type="paragraph" w:styleId="Firma">
    <w:name w:val="Signature"/>
    <w:basedOn w:val="Normal"/>
    <w:unhideWhenUsed/>
    <w:rsid w:val="00161655"/>
    <w:pPr>
      <w:spacing w:before="800"/>
      <w:jc w:val="center"/>
    </w:pPr>
    <w:rPr>
      <w:b/>
      <w:lang w:val="es-ES"/>
    </w:rPr>
  </w:style>
  <w:style w:type="paragraph" w:styleId="Encabezado">
    <w:name w:val="header"/>
    <w:basedOn w:val="Normal"/>
    <w:unhideWhenUsed/>
    <w:rsid w:val="0050277E"/>
    <w:pPr>
      <w:tabs>
        <w:tab w:val="center" w:pos="4252"/>
        <w:tab w:val="right" w:pos="8504"/>
      </w:tabs>
      <w:spacing w:before="0"/>
    </w:pPr>
  </w:style>
  <w:style w:type="paragraph" w:styleId="Piedepgina">
    <w:name w:val="footer"/>
    <w:basedOn w:val="Normal"/>
    <w:unhideWhenUsed/>
    <w:rsid w:val="0050277E"/>
    <w:pPr>
      <w:tabs>
        <w:tab w:val="center" w:pos="4998"/>
      </w:tabs>
      <w:spacing w:before="0"/>
      <w:ind w:right="-8"/>
    </w:pPr>
    <w:rPr>
      <w:rFonts w:cs="Arial"/>
      <w:sz w:val="16"/>
      <w:szCs w:val="16"/>
    </w:rPr>
  </w:style>
  <w:style w:type="paragraph" w:customStyle="1" w:styleId="Area">
    <w:name w:val="Area"/>
    <w:basedOn w:val="Normal"/>
    <w:rsid w:val="0050277E"/>
    <w:pPr>
      <w:spacing w:before="0" w:line="200" w:lineRule="exact"/>
    </w:pPr>
    <w:rPr>
      <w:rFonts w:cs="Arial"/>
      <w:bCs/>
      <w:sz w:val="18"/>
      <w:lang w:val="es-ES"/>
    </w:rPr>
  </w:style>
  <w:style w:type="paragraph" w:customStyle="1" w:styleId="Escudo">
    <w:name w:val="Escudo"/>
    <w:basedOn w:val="Normal"/>
    <w:rsid w:val="0050277E"/>
    <w:pPr>
      <w:spacing w:before="0"/>
      <w:ind w:right="-147"/>
    </w:pPr>
    <w:rPr>
      <w:rFonts w:cs="Arial"/>
    </w:rPr>
  </w:style>
  <w:style w:type="table" w:styleId="Tablaconcuadrcula">
    <w:name w:val="Table Grid"/>
    <w:basedOn w:val="Tablanormal"/>
    <w:rsid w:val="002602A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Borde">
    <w:name w:val="Título_Borde"/>
    <w:basedOn w:val="Ttulo1"/>
    <w:next w:val="Normal"/>
    <w:rsid w:val="00C251CF"/>
    <w:pPr>
      <w:pBdr>
        <w:bottom w:val="single" w:sz="4" w:space="1" w:color="auto"/>
      </w:pBdr>
      <w:spacing w:after="600"/>
    </w:pPr>
  </w:style>
  <w:style w:type="paragraph" w:styleId="Textodeglobo">
    <w:name w:val="Balloon Text"/>
    <w:basedOn w:val="Normal"/>
    <w:semiHidden/>
    <w:rsid w:val="00161655"/>
    <w:rPr>
      <w:rFonts w:ascii="Tahoma" w:hAnsi="Tahoma" w:cs="Tahoma"/>
      <w:sz w:val="16"/>
      <w:szCs w:val="16"/>
    </w:rPr>
  </w:style>
  <w:style w:type="character" w:styleId="Nmerodepgina">
    <w:name w:val="page number"/>
    <w:basedOn w:val="Fuentedeprrafopredeter"/>
    <w:rsid w:val="00770D32"/>
  </w:style>
  <w:style w:type="character" w:customStyle="1" w:styleId="CharacterStyle2">
    <w:name w:val="Character Style 2"/>
    <w:rsid w:val="00C27DF2"/>
    <w:rPr>
      <w:rFonts w:ascii="Verdana" w:hAnsi="Verdana" w:cs="Verdana"/>
      <w:sz w:val="20"/>
      <w:szCs w:val="20"/>
    </w:rPr>
  </w:style>
  <w:style w:type="paragraph" w:styleId="Prrafodelista">
    <w:name w:val="List Paragraph"/>
    <w:basedOn w:val="Normal"/>
    <w:uiPriority w:val="34"/>
    <w:qFormat/>
    <w:rsid w:val="00AA014F"/>
    <w:pPr>
      <w:spacing w:before="0" w:after="160" w:line="259" w:lineRule="auto"/>
      <w:ind w:left="720"/>
      <w:contextualSpacing/>
      <w:jc w:val="left"/>
    </w:pPr>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4379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Anuncio Boletín Oficial</vt:lpstr>
    </vt:vector>
  </TitlesOfParts>
  <Manager>S.A.Presidencia Informática y Comunicaciones</Manager>
  <Company>Cabildo Insular de Tenerife</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Anuncio Boletín Oficial</dc:title>
  <dc:creator>Unidad Web</dc:creator>
  <cp:keywords>Anuncio Boletín Oficial</cp:keywords>
  <cp:lastModifiedBy>Tomas Vargas Diaz</cp:lastModifiedBy>
  <cp:revision>3</cp:revision>
  <cp:lastPrinted>2015-10-22T09:01:00Z</cp:lastPrinted>
  <dcterms:created xsi:type="dcterms:W3CDTF">2018-11-03T11:36:00Z</dcterms:created>
  <dcterms:modified xsi:type="dcterms:W3CDTF">2018-11-04T10:37:00Z</dcterms:modified>
  <cp:category>Documento Administrativo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ioma">
    <vt:lpwstr>Español</vt:lpwstr>
  </property>
</Properties>
</file>