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07" w:rsidRPr="00D26146" w:rsidRDefault="00644907" w:rsidP="006C6D7E">
      <w:pPr>
        <w:jc w:val="center"/>
        <w:rPr>
          <w:rFonts w:ascii="Arial" w:hAnsi="Arial" w:cs="Arial"/>
          <w:b/>
          <w:bCs/>
          <w:sz w:val="20"/>
          <w:szCs w:val="20"/>
        </w:rPr>
      </w:pPr>
      <w:r w:rsidRPr="00D26146">
        <w:rPr>
          <w:rFonts w:ascii="Arial" w:hAnsi="Arial" w:cs="Arial"/>
          <w:b/>
          <w:bCs/>
          <w:sz w:val="20"/>
          <w:szCs w:val="20"/>
        </w:rPr>
        <w:t>PRESUPUESTOS ECIT 2019</w:t>
      </w:r>
    </w:p>
    <w:p w:rsidR="00644907" w:rsidRPr="00D26146" w:rsidRDefault="00644907" w:rsidP="0028001F">
      <w:pPr>
        <w:pBdr>
          <w:bottom w:val="single" w:sz="4" w:space="1" w:color="auto"/>
        </w:pBdr>
        <w:jc w:val="center"/>
        <w:rPr>
          <w:rFonts w:ascii="Arial" w:hAnsi="Arial" w:cs="Arial"/>
          <w:b/>
          <w:bCs/>
          <w:sz w:val="20"/>
          <w:szCs w:val="20"/>
        </w:rPr>
      </w:pPr>
      <w:r w:rsidRPr="00D26146">
        <w:rPr>
          <w:rFonts w:ascii="Arial" w:hAnsi="Arial" w:cs="Arial"/>
          <w:b/>
          <w:bCs/>
          <w:sz w:val="20"/>
          <w:szCs w:val="20"/>
        </w:rPr>
        <w:t>MEMORIA. PREVISIONES DE INGRESOS</w:t>
      </w:r>
    </w:p>
    <w:p w:rsidR="00644907" w:rsidRPr="00D26146" w:rsidRDefault="00644907">
      <w:pPr>
        <w:rPr>
          <w:rFonts w:ascii="Arial" w:hAnsi="Arial" w:cs="Arial"/>
          <w:color w:val="FF0000"/>
          <w:sz w:val="20"/>
          <w:szCs w:val="20"/>
        </w:rPr>
      </w:pPr>
    </w:p>
    <w:p w:rsidR="00644907" w:rsidRPr="00D26146" w:rsidRDefault="00644907">
      <w:pPr>
        <w:rPr>
          <w:rFonts w:ascii="Arial" w:hAnsi="Arial" w:cs="Arial"/>
          <w:color w:val="FF0000"/>
          <w:sz w:val="20"/>
          <w:szCs w:val="20"/>
        </w:rPr>
      </w:pPr>
    </w:p>
    <w:p w:rsidR="00644907" w:rsidRPr="00C61A9E" w:rsidRDefault="00644907" w:rsidP="00E72714">
      <w:pPr>
        <w:spacing w:line="360" w:lineRule="auto"/>
        <w:jc w:val="both"/>
        <w:rPr>
          <w:rFonts w:ascii="Arial" w:hAnsi="Arial" w:cs="Arial"/>
          <w:sz w:val="20"/>
          <w:szCs w:val="20"/>
        </w:rPr>
      </w:pPr>
      <w:r w:rsidRPr="00C61A9E">
        <w:rPr>
          <w:rFonts w:ascii="Arial" w:hAnsi="Arial" w:cs="Arial"/>
          <w:sz w:val="20"/>
          <w:szCs w:val="20"/>
        </w:rPr>
        <w:t xml:space="preserve">El Presupuesto del Cabildo Insular de Tenerife para el ejercicio 2019, prevé un </w:t>
      </w:r>
      <w:r w:rsidRPr="00C61A9E">
        <w:rPr>
          <w:rFonts w:ascii="Arial" w:hAnsi="Arial" w:cs="Arial"/>
          <w:b/>
          <w:bCs/>
          <w:sz w:val="20"/>
          <w:szCs w:val="20"/>
        </w:rPr>
        <w:t>total de ingresos de 884,</w:t>
      </w:r>
      <w:r w:rsidR="009D4FB8">
        <w:rPr>
          <w:rFonts w:ascii="Arial" w:hAnsi="Arial" w:cs="Arial"/>
          <w:b/>
          <w:bCs/>
          <w:sz w:val="20"/>
          <w:szCs w:val="20"/>
        </w:rPr>
        <w:t>5</w:t>
      </w:r>
      <w:r w:rsidRPr="00C61A9E">
        <w:rPr>
          <w:rFonts w:ascii="Arial" w:hAnsi="Arial" w:cs="Arial"/>
          <w:b/>
          <w:bCs/>
          <w:sz w:val="20"/>
          <w:szCs w:val="20"/>
        </w:rPr>
        <w:t xml:space="preserve"> M €</w:t>
      </w:r>
      <w:r w:rsidRPr="00C61A9E">
        <w:rPr>
          <w:rFonts w:ascii="Arial" w:hAnsi="Arial" w:cs="Arial"/>
          <w:sz w:val="20"/>
          <w:szCs w:val="20"/>
        </w:rPr>
        <w:t xml:space="preserve">, lo que supone unas previsiones totales de ingresos </w:t>
      </w:r>
      <w:r w:rsidRPr="00C61A9E">
        <w:rPr>
          <w:rFonts w:ascii="Arial" w:hAnsi="Arial" w:cs="Arial"/>
          <w:b/>
          <w:bCs/>
          <w:sz w:val="20"/>
          <w:szCs w:val="20"/>
        </w:rPr>
        <w:t xml:space="preserve">superiores a las del ejercicio anterior en </w:t>
      </w:r>
      <w:r w:rsidRPr="0034711A">
        <w:rPr>
          <w:rFonts w:ascii="Arial" w:hAnsi="Arial" w:cs="Arial"/>
          <w:b/>
          <w:bCs/>
          <w:sz w:val="20"/>
          <w:szCs w:val="20"/>
        </w:rPr>
        <w:t>un 4,</w:t>
      </w:r>
      <w:r w:rsidR="009D4FB8">
        <w:rPr>
          <w:rFonts w:ascii="Arial" w:hAnsi="Arial" w:cs="Arial"/>
          <w:b/>
          <w:bCs/>
          <w:sz w:val="20"/>
          <w:szCs w:val="20"/>
        </w:rPr>
        <w:t>5</w:t>
      </w:r>
      <w:r w:rsidRPr="00C61A9E">
        <w:rPr>
          <w:rFonts w:ascii="Arial" w:hAnsi="Arial" w:cs="Arial"/>
          <w:b/>
          <w:bCs/>
          <w:sz w:val="20"/>
          <w:szCs w:val="20"/>
        </w:rPr>
        <w:t>%.</w:t>
      </w:r>
      <w:r w:rsidRPr="00C61A9E">
        <w:rPr>
          <w:rFonts w:ascii="Arial" w:hAnsi="Arial" w:cs="Arial"/>
          <w:sz w:val="20"/>
          <w:szCs w:val="20"/>
        </w:rPr>
        <w:t xml:space="preserve"> </w:t>
      </w:r>
    </w:p>
    <w:p w:rsidR="00644907" w:rsidRPr="008A755C" w:rsidRDefault="00644907" w:rsidP="00E72714">
      <w:pPr>
        <w:spacing w:line="360" w:lineRule="auto"/>
        <w:jc w:val="both"/>
        <w:rPr>
          <w:rFonts w:ascii="Arial" w:hAnsi="Arial" w:cs="Arial"/>
          <w:color w:val="FF0000"/>
          <w:sz w:val="20"/>
          <w:szCs w:val="20"/>
        </w:rPr>
      </w:pPr>
    </w:p>
    <w:p w:rsidR="00644907" w:rsidRPr="00C61A9E" w:rsidRDefault="00644907" w:rsidP="00E72714">
      <w:pPr>
        <w:spacing w:line="360" w:lineRule="auto"/>
        <w:jc w:val="both"/>
        <w:rPr>
          <w:rFonts w:ascii="Arial" w:hAnsi="Arial" w:cs="Arial"/>
          <w:sz w:val="20"/>
          <w:szCs w:val="20"/>
        </w:rPr>
      </w:pPr>
      <w:r w:rsidRPr="00C61A9E">
        <w:rPr>
          <w:rFonts w:ascii="Arial" w:hAnsi="Arial" w:cs="Arial"/>
          <w:sz w:val="20"/>
          <w:szCs w:val="20"/>
        </w:rPr>
        <w:t xml:space="preserve">La estimación de los ingresos se ha efectuado siguiendo criterios realistas y en base a la información disponible. En cualquier caso, la ejecución del presupuesto será estrechamente vigilada, al objeto de asegurar la efectiva nivelación del Presupuesto de </w:t>
      </w:r>
      <w:r>
        <w:rPr>
          <w:rFonts w:ascii="Arial" w:hAnsi="Arial" w:cs="Arial"/>
          <w:sz w:val="20"/>
          <w:szCs w:val="20"/>
        </w:rPr>
        <w:t>esta Corporación I</w:t>
      </w:r>
      <w:r w:rsidRPr="00C61A9E">
        <w:rPr>
          <w:rFonts w:ascii="Arial" w:hAnsi="Arial" w:cs="Arial"/>
          <w:sz w:val="20"/>
          <w:szCs w:val="20"/>
        </w:rPr>
        <w:t xml:space="preserve">nsular.  </w:t>
      </w:r>
    </w:p>
    <w:p w:rsidR="00644907" w:rsidRPr="008A755C" w:rsidRDefault="00644907" w:rsidP="00716E04">
      <w:pPr>
        <w:spacing w:line="360" w:lineRule="auto"/>
        <w:jc w:val="both"/>
        <w:rPr>
          <w:rFonts w:ascii="Arial" w:hAnsi="Arial" w:cs="Arial"/>
          <w:i/>
          <w:iCs/>
          <w:color w:val="FF0000"/>
          <w:sz w:val="20"/>
          <w:szCs w:val="20"/>
        </w:rPr>
      </w:pPr>
    </w:p>
    <w:p w:rsidR="00644907" w:rsidRPr="00C61A9E" w:rsidRDefault="00644907" w:rsidP="00055200">
      <w:pPr>
        <w:spacing w:line="360" w:lineRule="auto"/>
        <w:jc w:val="both"/>
        <w:rPr>
          <w:rFonts w:ascii="Arial" w:hAnsi="Arial" w:cs="Arial"/>
          <w:sz w:val="20"/>
          <w:szCs w:val="20"/>
        </w:rPr>
      </w:pPr>
      <w:r w:rsidRPr="00C61A9E">
        <w:rPr>
          <w:rFonts w:ascii="Arial" w:hAnsi="Arial" w:cs="Arial"/>
          <w:sz w:val="20"/>
          <w:szCs w:val="20"/>
        </w:rPr>
        <w:t>Como se observa en el cuadro siguiente, la estructura a grandes rasgos del Presupuesto de Ingresos para 2019  presenta las siguientes diferencias respecto a la del ejercicio anterior.</w:t>
      </w:r>
    </w:p>
    <w:p w:rsidR="00644907" w:rsidRPr="008A755C" w:rsidRDefault="00644907" w:rsidP="00055200">
      <w:pPr>
        <w:spacing w:line="360" w:lineRule="auto"/>
        <w:jc w:val="both"/>
        <w:rPr>
          <w:rFonts w:ascii="Arial" w:hAnsi="Arial" w:cs="Arial"/>
          <w:color w:val="FF0000"/>
          <w:sz w:val="20"/>
          <w:szCs w:val="20"/>
        </w:rPr>
      </w:pPr>
    </w:p>
    <w:p w:rsidR="00644907" w:rsidRPr="008A755C" w:rsidRDefault="00312E55" w:rsidP="00716E04">
      <w:pPr>
        <w:spacing w:line="360" w:lineRule="auto"/>
        <w:jc w:val="both"/>
        <w:rPr>
          <w:rFonts w:ascii="Arial" w:hAnsi="Arial" w:cs="Arial"/>
          <w:color w:val="FF0000"/>
          <w:sz w:val="20"/>
          <w:szCs w:val="20"/>
        </w:rPr>
      </w:pPr>
      <w:r w:rsidRPr="00312E55">
        <w:rPr>
          <w:noProof/>
        </w:rPr>
        <w:drawing>
          <wp:inline distT="0" distB="0" distL="0" distR="0" wp14:anchorId="63A9A5BC" wp14:editId="7E47FA34">
            <wp:extent cx="5400040" cy="16029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1602938"/>
                    </a:xfrm>
                    <a:prstGeom prst="rect">
                      <a:avLst/>
                    </a:prstGeom>
                    <a:noFill/>
                    <a:ln>
                      <a:noFill/>
                    </a:ln>
                  </pic:spPr>
                </pic:pic>
              </a:graphicData>
            </a:graphic>
          </wp:inline>
        </w:drawing>
      </w:r>
    </w:p>
    <w:p w:rsidR="00644907" w:rsidRPr="008A755C" w:rsidRDefault="00644907" w:rsidP="0083313B">
      <w:pPr>
        <w:spacing w:line="360" w:lineRule="auto"/>
        <w:jc w:val="both"/>
        <w:rPr>
          <w:rFonts w:ascii="Arial" w:hAnsi="Arial" w:cs="Arial"/>
          <w:color w:val="FF0000"/>
          <w:sz w:val="20"/>
          <w:szCs w:val="20"/>
        </w:rPr>
      </w:pPr>
    </w:p>
    <w:p w:rsidR="00644907" w:rsidRPr="00C978E8" w:rsidRDefault="00644907" w:rsidP="0083313B">
      <w:pPr>
        <w:spacing w:line="360" w:lineRule="auto"/>
        <w:jc w:val="both"/>
        <w:rPr>
          <w:rFonts w:ascii="Arial" w:hAnsi="Arial" w:cs="Arial"/>
          <w:sz w:val="20"/>
          <w:szCs w:val="20"/>
        </w:rPr>
      </w:pPr>
      <w:r w:rsidRPr="00C978E8">
        <w:rPr>
          <w:rFonts w:ascii="Arial" w:hAnsi="Arial" w:cs="Arial"/>
          <w:sz w:val="20"/>
          <w:szCs w:val="20"/>
        </w:rPr>
        <w:t xml:space="preserve">Como se observa, el incremento total del presupuesto deriva mayormente de los ingresos por operaciones financieras, en tanto que los ingresos de naturaleza </w:t>
      </w:r>
      <w:r w:rsidR="00312E55">
        <w:rPr>
          <w:rFonts w:ascii="Arial" w:hAnsi="Arial" w:cs="Arial"/>
          <w:sz w:val="20"/>
          <w:szCs w:val="20"/>
        </w:rPr>
        <w:t>no financiera aumentan un 1,5%,</w:t>
      </w:r>
      <w:r w:rsidRPr="00C978E8">
        <w:rPr>
          <w:rFonts w:ascii="Arial" w:hAnsi="Arial" w:cs="Arial"/>
          <w:sz w:val="20"/>
          <w:szCs w:val="20"/>
        </w:rPr>
        <w:t xml:space="preserve"> reduc</w:t>
      </w:r>
      <w:r w:rsidR="00312E55">
        <w:rPr>
          <w:rFonts w:ascii="Arial" w:hAnsi="Arial" w:cs="Arial"/>
          <w:sz w:val="20"/>
          <w:szCs w:val="20"/>
        </w:rPr>
        <w:t>i</w:t>
      </w:r>
      <w:r w:rsidRPr="00C978E8">
        <w:rPr>
          <w:rFonts w:ascii="Arial" w:hAnsi="Arial" w:cs="Arial"/>
          <w:sz w:val="20"/>
          <w:szCs w:val="20"/>
        </w:rPr>
        <w:t>en</w:t>
      </w:r>
      <w:r w:rsidR="00312E55">
        <w:rPr>
          <w:rFonts w:ascii="Arial" w:hAnsi="Arial" w:cs="Arial"/>
          <w:sz w:val="20"/>
          <w:szCs w:val="20"/>
        </w:rPr>
        <w:t>do</w:t>
      </w:r>
      <w:r w:rsidRPr="00C978E8">
        <w:rPr>
          <w:rFonts w:ascii="Arial" w:hAnsi="Arial" w:cs="Arial"/>
          <w:sz w:val="20"/>
          <w:szCs w:val="20"/>
        </w:rPr>
        <w:t xml:space="preserve"> su peso al 97,0% del total de ingresos.</w:t>
      </w:r>
    </w:p>
    <w:p w:rsidR="00644907" w:rsidRPr="008A755C" w:rsidRDefault="00644907" w:rsidP="0083313B">
      <w:pPr>
        <w:spacing w:line="360" w:lineRule="auto"/>
        <w:jc w:val="both"/>
        <w:rPr>
          <w:rFonts w:ascii="Arial" w:hAnsi="Arial" w:cs="Arial"/>
          <w:color w:val="FF0000"/>
          <w:sz w:val="20"/>
          <w:szCs w:val="20"/>
        </w:rPr>
      </w:pPr>
    </w:p>
    <w:p w:rsidR="00644907" w:rsidRPr="00C978E8" w:rsidRDefault="00644907" w:rsidP="0083313B">
      <w:pPr>
        <w:spacing w:line="360" w:lineRule="auto"/>
        <w:jc w:val="both"/>
        <w:rPr>
          <w:rFonts w:ascii="Arial" w:hAnsi="Arial" w:cs="Arial"/>
          <w:sz w:val="20"/>
          <w:szCs w:val="20"/>
        </w:rPr>
      </w:pPr>
      <w:r w:rsidRPr="00C978E8">
        <w:rPr>
          <w:rFonts w:ascii="Arial" w:hAnsi="Arial" w:cs="Arial"/>
          <w:sz w:val="20"/>
          <w:szCs w:val="20"/>
        </w:rPr>
        <w:t>El aumento de ingresos no financieros se registra en su totalidad en los ingresos de capital, que aumentan 14,</w:t>
      </w:r>
      <w:r w:rsidR="00312E55">
        <w:rPr>
          <w:rFonts w:ascii="Arial" w:hAnsi="Arial" w:cs="Arial"/>
          <w:sz w:val="20"/>
          <w:szCs w:val="20"/>
        </w:rPr>
        <w:t>2</w:t>
      </w:r>
      <w:r w:rsidRPr="00C978E8">
        <w:rPr>
          <w:rFonts w:ascii="Arial" w:hAnsi="Arial" w:cs="Arial"/>
          <w:sz w:val="20"/>
          <w:szCs w:val="20"/>
        </w:rPr>
        <w:t xml:space="preserve"> M €, de los cuales 10 M € provienen del Servicio Canario de Salud como liquidación de las actuaciones ya realizadas en el Hospital del Sur (CAE).</w:t>
      </w:r>
    </w:p>
    <w:p w:rsidR="00644907" w:rsidRPr="008A755C" w:rsidRDefault="00644907" w:rsidP="0083313B">
      <w:pPr>
        <w:spacing w:line="360" w:lineRule="auto"/>
        <w:jc w:val="both"/>
        <w:rPr>
          <w:rFonts w:ascii="Arial" w:hAnsi="Arial" w:cs="Arial"/>
          <w:color w:val="FF0000"/>
          <w:sz w:val="20"/>
          <w:szCs w:val="20"/>
        </w:rPr>
      </w:pPr>
    </w:p>
    <w:p w:rsidR="00644907" w:rsidRPr="00C978E8" w:rsidRDefault="00644907" w:rsidP="0083313B">
      <w:pPr>
        <w:spacing w:line="360" w:lineRule="auto"/>
        <w:jc w:val="both"/>
        <w:rPr>
          <w:rFonts w:ascii="Arial" w:hAnsi="Arial" w:cs="Arial"/>
          <w:sz w:val="20"/>
          <w:szCs w:val="20"/>
        </w:rPr>
      </w:pPr>
      <w:r w:rsidRPr="00C978E8">
        <w:rPr>
          <w:rFonts w:ascii="Arial" w:hAnsi="Arial" w:cs="Arial"/>
          <w:sz w:val="20"/>
          <w:szCs w:val="20"/>
        </w:rPr>
        <w:t>Por su parte, los ingresos de naturaleza corriente se mantienen en términos similares. Como se verá más adelante, la caída de los recursos del REF en 59,7 M € queda prácticamente compensada con el aumento de la financiación prevista para las competencias transferidas y delegadas en 20,9 M €, la aportación por 16,1 M € del Gobierno de Canarias para compensar la pérdida de recaudación por la bajada del tipo general del IGIC, y el incremento de financiación con destino a la atención de personas dependientes en 10,5 M €, y con destino a políticas de transporte mediante el “bono residente canario” por otros 10 M €.</w:t>
      </w:r>
    </w:p>
    <w:p w:rsidR="00644907" w:rsidRPr="00557667" w:rsidRDefault="00644907" w:rsidP="00317FB0">
      <w:pPr>
        <w:pStyle w:val="Sangradetextonormal"/>
        <w:ind w:firstLine="0"/>
        <w:rPr>
          <w:rFonts w:ascii="Arial" w:hAnsi="Arial" w:cs="Arial"/>
          <w:sz w:val="20"/>
          <w:szCs w:val="20"/>
        </w:rPr>
      </w:pPr>
      <w:r w:rsidRPr="00557667">
        <w:rPr>
          <w:rFonts w:ascii="Arial" w:hAnsi="Arial" w:cs="Arial"/>
          <w:sz w:val="20"/>
          <w:szCs w:val="20"/>
        </w:rPr>
        <w:lastRenderedPageBreak/>
        <w:t>Por su parte, los ingresos de naturaleza financiera aumentan considerablemente al preverse la concertación de operaciones de préstamo por 25,0 M €, alcanzado un peso sobre el total de ingresos del 3,0%.</w:t>
      </w:r>
    </w:p>
    <w:p w:rsidR="00644907" w:rsidRPr="00557667" w:rsidRDefault="00644907" w:rsidP="00317FB0">
      <w:pPr>
        <w:pStyle w:val="Sangradetextonormal"/>
        <w:ind w:firstLine="0"/>
        <w:rPr>
          <w:rFonts w:ascii="Arial" w:hAnsi="Arial" w:cs="Arial"/>
          <w:sz w:val="20"/>
          <w:szCs w:val="20"/>
        </w:rPr>
      </w:pPr>
    </w:p>
    <w:p w:rsidR="00644907" w:rsidRPr="00557667" w:rsidRDefault="00644907" w:rsidP="00317FB0">
      <w:pPr>
        <w:pStyle w:val="Sangradetextonormal"/>
        <w:ind w:firstLine="0"/>
        <w:rPr>
          <w:rFonts w:ascii="Arial" w:hAnsi="Arial" w:cs="Arial"/>
          <w:sz w:val="20"/>
          <w:szCs w:val="20"/>
        </w:rPr>
      </w:pPr>
      <w:r w:rsidRPr="00557667">
        <w:rPr>
          <w:rFonts w:ascii="Arial" w:hAnsi="Arial" w:cs="Arial"/>
          <w:sz w:val="20"/>
          <w:szCs w:val="20"/>
        </w:rPr>
        <w:t>En defin</w:t>
      </w:r>
      <w:r>
        <w:rPr>
          <w:rFonts w:ascii="Arial" w:hAnsi="Arial" w:cs="Arial"/>
          <w:sz w:val="20"/>
          <w:szCs w:val="20"/>
        </w:rPr>
        <w:t>i</w:t>
      </w:r>
      <w:r w:rsidRPr="00557667">
        <w:rPr>
          <w:rFonts w:ascii="Arial" w:hAnsi="Arial" w:cs="Arial"/>
          <w:sz w:val="20"/>
          <w:szCs w:val="20"/>
        </w:rPr>
        <w:t xml:space="preserve">tiva, el total de recursos que financian inicialmente los gastos a realizar aumenta un </w:t>
      </w:r>
      <w:r>
        <w:rPr>
          <w:rFonts w:ascii="Arial" w:hAnsi="Arial" w:cs="Arial"/>
          <w:sz w:val="20"/>
          <w:szCs w:val="20"/>
        </w:rPr>
        <w:t>4</w:t>
      </w:r>
      <w:r w:rsidRPr="00557667">
        <w:rPr>
          <w:rFonts w:ascii="Arial" w:hAnsi="Arial" w:cs="Arial"/>
          <w:sz w:val="20"/>
          <w:szCs w:val="20"/>
        </w:rPr>
        <w:t>,</w:t>
      </w:r>
      <w:r w:rsidR="00312E55">
        <w:rPr>
          <w:rFonts w:ascii="Arial" w:hAnsi="Arial" w:cs="Arial"/>
          <w:sz w:val="20"/>
          <w:szCs w:val="20"/>
        </w:rPr>
        <w:t>5</w:t>
      </w:r>
      <w:r w:rsidRPr="00557667">
        <w:rPr>
          <w:rFonts w:ascii="Arial" w:hAnsi="Arial" w:cs="Arial"/>
          <w:sz w:val="20"/>
          <w:szCs w:val="20"/>
        </w:rPr>
        <w:t>%, alcanzando el Presupuesto para 201</w:t>
      </w:r>
      <w:r>
        <w:rPr>
          <w:rFonts w:ascii="Arial" w:hAnsi="Arial" w:cs="Arial"/>
          <w:sz w:val="20"/>
          <w:szCs w:val="20"/>
        </w:rPr>
        <w:t>9</w:t>
      </w:r>
      <w:r w:rsidRPr="00557667">
        <w:rPr>
          <w:rFonts w:ascii="Arial" w:hAnsi="Arial" w:cs="Arial"/>
          <w:sz w:val="20"/>
          <w:szCs w:val="20"/>
        </w:rPr>
        <w:t xml:space="preserve"> un total de </w:t>
      </w:r>
      <w:r>
        <w:rPr>
          <w:rFonts w:ascii="Arial" w:hAnsi="Arial" w:cs="Arial"/>
          <w:sz w:val="20"/>
          <w:szCs w:val="20"/>
        </w:rPr>
        <w:t>884</w:t>
      </w:r>
      <w:r w:rsidRPr="00557667">
        <w:rPr>
          <w:rFonts w:ascii="Arial" w:hAnsi="Arial" w:cs="Arial"/>
          <w:sz w:val="20"/>
          <w:szCs w:val="20"/>
        </w:rPr>
        <w:t>,</w:t>
      </w:r>
      <w:r w:rsidR="00312E55">
        <w:rPr>
          <w:rFonts w:ascii="Arial" w:hAnsi="Arial" w:cs="Arial"/>
          <w:sz w:val="20"/>
          <w:szCs w:val="20"/>
        </w:rPr>
        <w:t>5</w:t>
      </w:r>
      <w:r w:rsidRPr="00557667">
        <w:rPr>
          <w:rFonts w:ascii="Arial" w:hAnsi="Arial" w:cs="Arial"/>
          <w:sz w:val="20"/>
          <w:szCs w:val="20"/>
        </w:rPr>
        <w:t xml:space="preserve"> M €.</w:t>
      </w:r>
    </w:p>
    <w:p w:rsidR="00644907" w:rsidRDefault="00644907" w:rsidP="00D6640C">
      <w:pPr>
        <w:spacing w:line="360" w:lineRule="auto"/>
        <w:jc w:val="both"/>
        <w:rPr>
          <w:rFonts w:ascii="Arial" w:hAnsi="Arial" w:cs="Arial"/>
          <w:sz w:val="20"/>
          <w:szCs w:val="20"/>
        </w:rPr>
      </w:pPr>
    </w:p>
    <w:p w:rsidR="00644907" w:rsidRPr="008A755C" w:rsidRDefault="00644907" w:rsidP="0083313B">
      <w:pPr>
        <w:spacing w:line="360" w:lineRule="auto"/>
        <w:jc w:val="both"/>
        <w:rPr>
          <w:rFonts w:ascii="Arial" w:hAnsi="Arial" w:cs="Arial"/>
          <w:color w:val="FF0000"/>
          <w:sz w:val="20"/>
          <w:szCs w:val="20"/>
        </w:rPr>
      </w:pPr>
    </w:p>
    <w:p w:rsidR="00644907" w:rsidRPr="00187C69" w:rsidRDefault="00644907" w:rsidP="00EE5DA6">
      <w:pPr>
        <w:spacing w:line="360" w:lineRule="auto"/>
        <w:jc w:val="both"/>
        <w:rPr>
          <w:rFonts w:ascii="Arial" w:hAnsi="Arial" w:cs="Arial"/>
          <w:sz w:val="20"/>
          <w:szCs w:val="20"/>
        </w:rPr>
      </w:pPr>
      <w:r w:rsidRPr="00187C69">
        <w:rPr>
          <w:rFonts w:ascii="Arial" w:hAnsi="Arial" w:cs="Arial"/>
          <w:sz w:val="20"/>
          <w:szCs w:val="20"/>
        </w:rPr>
        <w:t>En el cuadro siguiente se muestra, de manera esquemática, la variación en los importes de las previsiones de ingresos atendiendo al origen de los fondos y su importancia sobre el total:</w:t>
      </w:r>
    </w:p>
    <w:p w:rsidR="00644907" w:rsidRPr="008A755C" w:rsidRDefault="00644907" w:rsidP="00EE5DA6">
      <w:pPr>
        <w:spacing w:line="360" w:lineRule="auto"/>
        <w:jc w:val="both"/>
        <w:rPr>
          <w:rFonts w:ascii="Arial" w:hAnsi="Arial" w:cs="Arial"/>
          <w:color w:val="FF0000"/>
          <w:sz w:val="20"/>
          <w:szCs w:val="20"/>
        </w:rPr>
      </w:pPr>
    </w:p>
    <w:p w:rsidR="00644907" w:rsidRPr="008A755C" w:rsidRDefault="003E0C48" w:rsidP="00EE5DA6">
      <w:pPr>
        <w:spacing w:line="360" w:lineRule="auto"/>
        <w:jc w:val="both"/>
        <w:rPr>
          <w:rFonts w:ascii="Arial" w:hAnsi="Arial" w:cs="Arial"/>
          <w:color w:val="FF0000"/>
          <w:sz w:val="20"/>
          <w:szCs w:val="20"/>
          <w:highlight w:val="yellow"/>
        </w:rPr>
      </w:pPr>
      <w:r w:rsidRPr="003E0C48">
        <w:rPr>
          <w:noProof/>
        </w:rPr>
        <w:drawing>
          <wp:inline distT="0" distB="0" distL="0" distR="0" wp14:anchorId="04E2C4C9" wp14:editId="0AA3FB7C">
            <wp:extent cx="5400040" cy="19176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917619"/>
                    </a:xfrm>
                    <a:prstGeom prst="rect">
                      <a:avLst/>
                    </a:prstGeom>
                    <a:noFill/>
                    <a:ln>
                      <a:noFill/>
                    </a:ln>
                  </pic:spPr>
                </pic:pic>
              </a:graphicData>
            </a:graphic>
          </wp:inline>
        </w:drawing>
      </w:r>
    </w:p>
    <w:p w:rsidR="00644907" w:rsidRPr="008A755C" w:rsidRDefault="00644907" w:rsidP="00716E04">
      <w:pPr>
        <w:spacing w:line="360" w:lineRule="auto"/>
        <w:jc w:val="both"/>
        <w:rPr>
          <w:rFonts w:ascii="Arial" w:hAnsi="Arial" w:cs="Arial"/>
          <w:color w:val="FF0000"/>
          <w:sz w:val="20"/>
          <w:szCs w:val="20"/>
          <w:highlight w:val="yellow"/>
        </w:rPr>
      </w:pPr>
    </w:p>
    <w:p w:rsidR="00644907" w:rsidRPr="00187C69" w:rsidRDefault="00644907" w:rsidP="00B64B53">
      <w:pPr>
        <w:spacing w:line="360" w:lineRule="auto"/>
        <w:jc w:val="both"/>
        <w:rPr>
          <w:rFonts w:ascii="Arial" w:hAnsi="Arial" w:cs="Arial"/>
          <w:sz w:val="20"/>
          <w:szCs w:val="20"/>
        </w:rPr>
      </w:pPr>
      <w:r w:rsidRPr="00187C69">
        <w:rPr>
          <w:rFonts w:ascii="Arial" w:hAnsi="Arial" w:cs="Arial"/>
          <w:sz w:val="20"/>
          <w:szCs w:val="20"/>
        </w:rPr>
        <w:t>Los tres principales componentes dentro de la estructura de ingresos de la Corporación Insular son los recursos derivados del Régimen Económico y Fiscal de Canarias (45,0%), participación en los Tributos del Estado (12,4%), y dotaciones de la Comunidad Autónoma de Canarias para el ejercicio de las competencias transferidas y delegadas (12,8%).</w:t>
      </w:r>
    </w:p>
    <w:p w:rsidR="00644907" w:rsidRPr="008A755C" w:rsidRDefault="00644907" w:rsidP="00B64B53">
      <w:pPr>
        <w:spacing w:line="360" w:lineRule="auto"/>
        <w:jc w:val="both"/>
        <w:rPr>
          <w:rFonts w:ascii="Arial" w:hAnsi="Arial" w:cs="Arial"/>
          <w:color w:val="FF0000"/>
          <w:sz w:val="20"/>
          <w:szCs w:val="20"/>
          <w:highlight w:val="yellow"/>
        </w:rPr>
      </w:pPr>
    </w:p>
    <w:p w:rsidR="00644907" w:rsidRPr="00037EA7" w:rsidRDefault="00644907" w:rsidP="00B64B53">
      <w:pPr>
        <w:spacing w:line="360" w:lineRule="auto"/>
        <w:jc w:val="both"/>
        <w:rPr>
          <w:rFonts w:ascii="Arial" w:hAnsi="Arial" w:cs="Arial"/>
          <w:sz w:val="20"/>
          <w:szCs w:val="20"/>
        </w:rPr>
      </w:pPr>
      <w:r w:rsidRPr="00037EA7">
        <w:rPr>
          <w:rFonts w:ascii="Arial" w:hAnsi="Arial" w:cs="Arial"/>
          <w:sz w:val="20"/>
          <w:szCs w:val="20"/>
        </w:rPr>
        <w:t xml:space="preserve">La importancia relativa de este conjunto de ingresos disminuye, pasando a representar el 72,4% de los ingresos no financieros, contra el 77,9% en 2018.  Ello se debe a la caída en los recursos del REF, que son los de mayor peso en el Presupuesto insular. </w:t>
      </w:r>
    </w:p>
    <w:p w:rsidR="00644907" w:rsidRPr="008A755C" w:rsidRDefault="00644907" w:rsidP="00B64B53">
      <w:pPr>
        <w:spacing w:line="360" w:lineRule="auto"/>
        <w:jc w:val="both"/>
        <w:rPr>
          <w:rFonts w:ascii="Arial" w:hAnsi="Arial" w:cs="Arial"/>
          <w:color w:val="FF0000"/>
          <w:sz w:val="20"/>
          <w:szCs w:val="20"/>
          <w:highlight w:val="yellow"/>
        </w:rPr>
      </w:pPr>
    </w:p>
    <w:p w:rsidR="00644907" w:rsidRPr="00037EA7" w:rsidRDefault="00644907" w:rsidP="00020307">
      <w:pPr>
        <w:pStyle w:val="Sangradetextonormal"/>
        <w:ind w:firstLine="0"/>
        <w:rPr>
          <w:rFonts w:ascii="Arial" w:hAnsi="Arial" w:cs="Arial"/>
          <w:sz w:val="20"/>
          <w:szCs w:val="20"/>
        </w:rPr>
      </w:pPr>
      <w:r w:rsidRPr="00037EA7">
        <w:rPr>
          <w:rFonts w:ascii="Arial" w:hAnsi="Arial" w:cs="Arial"/>
          <w:sz w:val="20"/>
          <w:szCs w:val="20"/>
        </w:rPr>
        <w:t xml:space="preserve">Por último, en relación a la comparativa del Presupuesto 2019 con respecto a 2018, debe comentarse el efecto producido por el cambio de criterio en la </w:t>
      </w:r>
      <w:proofErr w:type="spellStart"/>
      <w:r w:rsidRPr="00037EA7">
        <w:rPr>
          <w:rFonts w:ascii="Arial" w:hAnsi="Arial" w:cs="Arial"/>
          <w:sz w:val="20"/>
          <w:szCs w:val="20"/>
        </w:rPr>
        <w:t>presupuestación</w:t>
      </w:r>
      <w:proofErr w:type="spellEnd"/>
      <w:r w:rsidRPr="00037EA7">
        <w:rPr>
          <w:rFonts w:ascii="Arial" w:hAnsi="Arial" w:cs="Arial"/>
          <w:sz w:val="20"/>
          <w:szCs w:val="20"/>
        </w:rPr>
        <w:t xml:space="preserve"> de la financiación del sistema de prevención y protección de las víctimas de la violencia de género, que venía presupuestándose por el Organismo Autónomo Instituto de Atención Social y </w:t>
      </w:r>
      <w:proofErr w:type="spellStart"/>
      <w:r w:rsidRPr="00037EA7">
        <w:rPr>
          <w:rFonts w:ascii="Arial" w:hAnsi="Arial" w:cs="Arial"/>
          <w:sz w:val="20"/>
          <w:szCs w:val="20"/>
        </w:rPr>
        <w:t>Sociosanitaria</w:t>
      </w:r>
      <w:proofErr w:type="spellEnd"/>
      <w:r w:rsidRPr="00037EA7">
        <w:rPr>
          <w:rFonts w:ascii="Arial" w:hAnsi="Arial" w:cs="Arial"/>
          <w:sz w:val="20"/>
          <w:szCs w:val="20"/>
        </w:rPr>
        <w:t xml:space="preserve"> (IASS), y que pasa a integrarse en los ingresos corrientes del Cabildo, por ser esta Entidad la perceptora de dichos fondos y quien asume el riesgo de la gestión de dichos servicios que se prestan bajo la forma de gestión directa a través de Organismo Autónomo.</w:t>
      </w:r>
      <w:r>
        <w:rPr>
          <w:rFonts w:ascii="Arial" w:hAnsi="Arial" w:cs="Arial"/>
          <w:sz w:val="20"/>
          <w:szCs w:val="20"/>
        </w:rPr>
        <w:t xml:space="preserve"> </w:t>
      </w:r>
      <w:r w:rsidRPr="00037EA7">
        <w:rPr>
          <w:rFonts w:ascii="Arial" w:hAnsi="Arial" w:cs="Arial"/>
          <w:sz w:val="20"/>
          <w:szCs w:val="20"/>
        </w:rPr>
        <w:t>Los ingresos estimados</w:t>
      </w:r>
      <w:r>
        <w:rPr>
          <w:rFonts w:ascii="Arial" w:hAnsi="Arial" w:cs="Arial"/>
          <w:sz w:val="20"/>
          <w:szCs w:val="20"/>
        </w:rPr>
        <w:t xml:space="preserve"> para este fin</w:t>
      </w:r>
      <w:r w:rsidRPr="00037EA7">
        <w:rPr>
          <w:rFonts w:ascii="Arial" w:hAnsi="Arial" w:cs="Arial"/>
          <w:sz w:val="20"/>
          <w:szCs w:val="20"/>
        </w:rPr>
        <w:t xml:space="preserve"> ascienden a 2,1 M €. </w:t>
      </w:r>
    </w:p>
    <w:p w:rsidR="00644907" w:rsidRPr="008A755C" w:rsidRDefault="00644907" w:rsidP="00020307">
      <w:pPr>
        <w:spacing w:line="360" w:lineRule="auto"/>
        <w:jc w:val="both"/>
        <w:rPr>
          <w:rFonts w:ascii="Arial" w:hAnsi="Arial" w:cs="Arial"/>
          <w:color w:val="FF0000"/>
          <w:sz w:val="20"/>
          <w:szCs w:val="20"/>
        </w:rPr>
      </w:pPr>
    </w:p>
    <w:p w:rsidR="00644907" w:rsidRPr="00B827BE" w:rsidRDefault="00644907" w:rsidP="00020307">
      <w:pPr>
        <w:spacing w:line="360" w:lineRule="auto"/>
        <w:jc w:val="both"/>
        <w:rPr>
          <w:rFonts w:ascii="Arial" w:hAnsi="Arial" w:cs="Arial"/>
          <w:b/>
          <w:bCs/>
          <w:sz w:val="20"/>
          <w:szCs w:val="20"/>
        </w:rPr>
      </w:pPr>
      <w:r w:rsidRPr="00B827BE">
        <w:rPr>
          <w:rFonts w:ascii="Arial" w:hAnsi="Arial" w:cs="Arial"/>
          <w:sz w:val="20"/>
          <w:szCs w:val="20"/>
        </w:rPr>
        <w:lastRenderedPageBreak/>
        <w:t xml:space="preserve">Este cambio de criterio no repercute en el Presupuesto Consolidado del Cabildo con sus entes dependientes, pero sí individualmente en los presupuestos del Cabildo y el IASS, aumentando el primero y minorando el segundo. A los efectos de la comparación entre los presupuestos de 2018 </w:t>
      </w:r>
      <w:r>
        <w:rPr>
          <w:rFonts w:ascii="Arial" w:hAnsi="Arial" w:cs="Arial"/>
          <w:sz w:val="20"/>
          <w:szCs w:val="20"/>
        </w:rPr>
        <w:t xml:space="preserve">y 2019 en términos homogéneos, </w:t>
      </w:r>
      <w:r w:rsidRPr="00B827BE">
        <w:rPr>
          <w:rFonts w:ascii="Arial" w:hAnsi="Arial" w:cs="Arial"/>
          <w:sz w:val="20"/>
          <w:szCs w:val="20"/>
        </w:rPr>
        <w:t xml:space="preserve">debe tenerse en cuenta que, de no haberse producido la incorporación de dicho ingreso, </w:t>
      </w:r>
      <w:r w:rsidRPr="00B827BE">
        <w:rPr>
          <w:rFonts w:ascii="Arial" w:hAnsi="Arial" w:cs="Arial"/>
          <w:b/>
          <w:bCs/>
          <w:sz w:val="20"/>
          <w:szCs w:val="20"/>
        </w:rPr>
        <w:t>el Presupuesto para 2019 del Cabildo hubiera ascendido a 882,</w:t>
      </w:r>
      <w:r w:rsidR="003E0C48">
        <w:rPr>
          <w:rFonts w:ascii="Arial" w:hAnsi="Arial" w:cs="Arial"/>
          <w:b/>
          <w:bCs/>
          <w:sz w:val="20"/>
          <w:szCs w:val="20"/>
        </w:rPr>
        <w:t>4</w:t>
      </w:r>
      <w:r w:rsidRPr="00B827BE">
        <w:rPr>
          <w:rFonts w:ascii="Arial" w:hAnsi="Arial" w:cs="Arial"/>
          <w:b/>
          <w:bCs/>
          <w:sz w:val="20"/>
          <w:szCs w:val="20"/>
        </w:rPr>
        <w:t xml:space="preserve"> M €, siendo su crecimiento en términos ajustados del 4,2%.</w:t>
      </w:r>
    </w:p>
    <w:p w:rsidR="00644907" w:rsidRPr="008A755C" w:rsidRDefault="00644907" w:rsidP="00CB25E0">
      <w:pPr>
        <w:pStyle w:val="Sangradetextonormal"/>
        <w:ind w:firstLine="0"/>
        <w:rPr>
          <w:rFonts w:ascii="Arial" w:hAnsi="Arial" w:cs="Arial"/>
          <w:color w:val="FF0000"/>
          <w:sz w:val="20"/>
          <w:szCs w:val="20"/>
        </w:rPr>
      </w:pPr>
    </w:p>
    <w:p w:rsidR="00644907" w:rsidRPr="008A755C" w:rsidRDefault="00644907" w:rsidP="00D80BF1">
      <w:pPr>
        <w:spacing w:line="360" w:lineRule="auto"/>
        <w:jc w:val="both"/>
        <w:rPr>
          <w:rFonts w:ascii="Arial" w:hAnsi="Arial" w:cs="Arial"/>
          <w:color w:val="FF0000"/>
          <w:sz w:val="20"/>
          <w:szCs w:val="20"/>
        </w:rPr>
      </w:pPr>
    </w:p>
    <w:p w:rsidR="00644907" w:rsidRPr="00B827BE" w:rsidRDefault="00644907" w:rsidP="00B64B53">
      <w:pPr>
        <w:spacing w:line="360" w:lineRule="auto"/>
        <w:jc w:val="both"/>
        <w:rPr>
          <w:rFonts w:ascii="Arial" w:hAnsi="Arial" w:cs="Arial"/>
          <w:sz w:val="20"/>
          <w:szCs w:val="20"/>
        </w:rPr>
      </w:pPr>
      <w:r w:rsidRPr="00B827BE">
        <w:rPr>
          <w:rFonts w:ascii="Arial" w:hAnsi="Arial" w:cs="Arial"/>
          <w:sz w:val="20"/>
          <w:szCs w:val="20"/>
        </w:rPr>
        <w:t>Una vez analizado a grandes rasgos el Presupuesto de Ingresos para 2019, se pasa a explicar con detalle el contenido de cada Capítulo del mismo.</w:t>
      </w:r>
    </w:p>
    <w:p w:rsidR="00644907" w:rsidRPr="00B827BE" w:rsidRDefault="00644907" w:rsidP="000F72B5">
      <w:pPr>
        <w:pStyle w:val="Prrafodelista"/>
        <w:spacing w:line="360" w:lineRule="auto"/>
        <w:ind w:left="0"/>
        <w:jc w:val="both"/>
        <w:rPr>
          <w:rFonts w:ascii="Arial" w:hAnsi="Arial" w:cs="Arial"/>
          <w:sz w:val="20"/>
          <w:szCs w:val="20"/>
        </w:rPr>
      </w:pPr>
    </w:p>
    <w:p w:rsidR="00644907" w:rsidRPr="00B827BE" w:rsidRDefault="00644907" w:rsidP="000F72B5">
      <w:pPr>
        <w:pStyle w:val="Prrafodelista"/>
        <w:spacing w:line="360" w:lineRule="auto"/>
        <w:ind w:left="0"/>
        <w:jc w:val="both"/>
        <w:rPr>
          <w:rFonts w:ascii="Arial" w:hAnsi="Arial" w:cs="Arial"/>
          <w:sz w:val="20"/>
          <w:szCs w:val="20"/>
        </w:rPr>
      </w:pPr>
      <w:r w:rsidRPr="00B827BE">
        <w:rPr>
          <w:rFonts w:ascii="Arial" w:hAnsi="Arial" w:cs="Arial"/>
          <w:sz w:val="20"/>
          <w:szCs w:val="20"/>
        </w:rPr>
        <w:t xml:space="preserve">Se presenta a continuación el Presupuesto de ingresos </w:t>
      </w:r>
      <w:r w:rsidRPr="00B827BE">
        <w:rPr>
          <w:rFonts w:ascii="Arial" w:hAnsi="Arial" w:cs="Arial"/>
          <w:b/>
          <w:bCs/>
          <w:sz w:val="20"/>
          <w:szCs w:val="20"/>
        </w:rPr>
        <w:t>por Capítulos</w:t>
      </w:r>
      <w:r w:rsidRPr="00B827BE">
        <w:rPr>
          <w:rFonts w:ascii="Arial" w:hAnsi="Arial" w:cs="Arial"/>
          <w:sz w:val="20"/>
          <w:szCs w:val="20"/>
        </w:rPr>
        <w:t xml:space="preserve">, y su comparación con el ejercicio precedente. </w:t>
      </w:r>
    </w:p>
    <w:p w:rsidR="00644907" w:rsidRPr="008A755C" w:rsidRDefault="00644907" w:rsidP="00716E04">
      <w:pPr>
        <w:pStyle w:val="Sangradetextonormal"/>
        <w:ind w:firstLine="0"/>
        <w:rPr>
          <w:rFonts w:ascii="Arial" w:hAnsi="Arial" w:cs="Arial"/>
          <w:color w:val="FF0000"/>
          <w:sz w:val="20"/>
          <w:szCs w:val="20"/>
        </w:rPr>
      </w:pPr>
      <w:r w:rsidRPr="008A755C">
        <w:rPr>
          <w:color w:val="FF0000"/>
        </w:rPr>
        <w:t xml:space="preserve"> </w:t>
      </w:r>
      <w:r w:rsidR="003E0C48" w:rsidRPr="003E0C48">
        <w:rPr>
          <w:noProof/>
        </w:rPr>
        <w:drawing>
          <wp:inline distT="0" distB="0" distL="0" distR="0" wp14:anchorId="586765D5" wp14:editId="11BA7732">
            <wp:extent cx="5400040" cy="31410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141029"/>
                    </a:xfrm>
                    <a:prstGeom prst="rect">
                      <a:avLst/>
                    </a:prstGeom>
                    <a:noFill/>
                    <a:ln>
                      <a:noFill/>
                    </a:ln>
                  </pic:spPr>
                </pic:pic>
              </a:graphicData>
            </a:graphic>
          </wp:inline>
        </w:drawing>
      </w:r>
      <w:r w:rsidRPr="008A755C">
        <w:rPr>
          <w:color w:val="FF0000"/>
        </w:rPr>
        <w:t xml:space="preserve"> </w:t>
      </w:r>
    </w:p>
    <w:p w:rsidR="00644907" w:rsidRPr="008A755C" w:rsidRDefault="00644907" w:rsidP="00716E04">
      <w:pPr>
        <w:pStyle w:val="Sangradetextonormal"/>
        <w:ind w:firstLine="0"/>
        <w:rPr>
          <w:rFonts w:ascii="Arial" w:hAnsi="Arial" w:cs="Arial"/>
          <w:color w:val="FF0000"/>
          <w:sz w:val="20"/>
          <w:szCs w:val="20"/>
        </w:rPr>
      </w:pPr>
    </w:p>
    <w:p w:rsidR="00644907" w:rsidRPr="00B827BE" w:rsidRDefault="00644907" w:rsidP="00716E04">
      <w:pPr>
        <w:pStyle w:val="Sangradetextonormal"/>
        <w:ind w:firstLine="0"/>
        <w:rPr>
          <w:rFonts w:ascii="Arial" w:hAnsi="Arial" w:cs="Arial"/>
          <w:sz w:val="20"/>
          <w:szCs w:val="20"/>
        </w:rPr>
      </w:pPr>
      <w:r w:rsidRPr="00B827BE">
        <w:rPr>
          <w:rFonts w:ascii="Arial" w:hAnsi="Arial" w:cs="Arial"/>
          <w:sz w:val="20"/>
          <w:szCs w:val="20"/>
        </w:rPr>
        <w:t>El total de ingresos por operaciones corrientes asciende a 787,</w:t>
      </w:r>
      <w:r w:rsidR="003E0C48">
        <w:rPr>
          <w:rFonts w:ascii="Arial" w:hAnsi="Arial" w:cs="Arial"/>
          <w:sz w:val="20"/>
          <w:szCs w:val="20"/>
        </w:rPr>
        <w:t>4</w:t>
      </w:r>
      <w:r w:rsidRPr="00B827BE">
        <w:rPr>
          <w:rFonts w:ascii="Arial" w:hAnsi="Arial" w:cs="Arial"/>
          <w:sz w:val="20"/>
          <w:szCs w:val="20"/>
        </w:rPr>
        <w:t xml:space="preserve"> M €, ligeramente inferiores a los del ejercicio precedente, siendo su participación en el total de recursos de un 89,0%.  Por su parte, los ingresos procedentes de operaciones de capital se sitúan en 70,</w:t>
      </w:r>
      <w:r w:rsidR="003E0C48">
        <w:rPr>
          <w:rFonts w:ascii="Arial" w:hAnsi="Arial" w:cs="Arial"/>
          <w:sz w:val="20"/>
          <w:szCs w:val="20"/>
        </w:rPr>
        <w:t>3</w:t>
      </w:r>
      <w:r w:rsidRPr="00B827BE">
        <w:rPr>
          <w:rFonts w:ascii="Arial" w:hAnsi="Arial" w:cs="Arial"/>
          <w:sz w:val="20"/>
          <w:szCs w:val="20"/>
        </w:rPr>
        <w:t xml:space="preserve"> M €, elevándose  su representativ</w:t>
      </w:r>
      <w:r w:rsidR="003E0C48">
        <w:rPr>
          <w:rFonts w:ascii="Arial" w:hAnsi="Arial" w:cs="Arial"/>
          <w:sz w:val="20"/>
          <w:szCs w:val="20"/>
        </w:rPr>
        <w:t>id</w:t>
      </w:r>
      <w:r w:rsidRPr="00B827BE">
        <w:rPr>
          <w:rFonts w:ascii="Arial" w:hAnsi="Arial" w:cs="Arial"/>
          <w:sz w:val="20"/>
          <w:szCs w:val="20"/>
        </w:rPr>
        <w:t xml:space="preserve">ad sobre el total de ingresos previstos hasta el 7,9%. </w:t>
      </w:r>
    </w:p>
    <w:p w:rsidR="00644907" w:rsidRPr="008A755C" w:rsidRDefault="00644907" w:rsidP="00716E04">
      <w:pPr>
        <w:pStyle w:val="Sangradetextonormal"/>
        <w:ind w:firstLine="0"/>
        <w:rPr>
          <w:rFonts w:ascii="Arial" w:hAnsi="Arial" w:cs="Arial"/>
          <w:color w:val="FF0000"/>
          <w:sz w:val="20"/>
          <w:szCs w:val="20"/>
        </w:rPr>
      </w:pPr>
    </w:p>
    <w:p w:rsidR="00644907" w:rsidRPr="00B827BE" w:rsidRDefault="00644907" w:rsidP="00716E04">
      <w:pPr>
        <w:pStyle w:val="Sangradetextonormal"/>
        <w:ind w:firstLine="0"/>
        <w:rPr>
          <w:rFonts w:ascii="Arial" w:hAnsi="Arial" w:cs="Arial"/>
          <w:sz w:val="20"/>
          <w:szCs w:val="20"/>
        </w:rPr>
      </w:pPr>
      <w:r w:rsidRPr="00B827BE">
        <w:rPr>
          <w:rFonts w:ascii="Arial" w:hAnsi="Arial" w:cs="Arial"/>
          <w:sz w:val="20"/>
          <w:szCs w:val="20"/>
        </w:rPr>
        <w:t xml:space="preserve">De la adición de ambos grupos de ingresos, se concluye que el Cabildo Insular de Tenerife contará para el ejercicio 2019 con un importe total de </w:t>
      </w:r>
      <w:r w:rsidRPr="00B827BE">
        <w:rPr>
          <w:rFonts w:ascii="Arial" w:hAnsi="Arial" w:cs="Arial"/>
          <w:b/>
          <w:bCs/>
          <w:sz w:val="20"/>
          <w:szCs w:val="20"/>
        </w:rPr>
        <w:t>ingresos no financieros de 857,</w:t>
      </w:r>
      <w:r w:rsidR="000D323B">
        <w:rPr>
          <w:rFonts w:ascii="Arial" w:hAnsi="Arial" w:cs="Arial"/>
          <w:b/>
          <w:bCs/>
          <w:sz w:val="20"/>
          <w:szCs w:val="20"/>
        </w:rPr>
        <w:t>7</w:t>
      </w:r>
      <w:r w:rsidRPr="00B827BE">
        <w:rPr>
          <w:rFonts w:ascii="Arial" w:hAnsi="Arial" w:cs="Arial"/>
          <w:b/>
          <w:bCs/>
          <w:sz w:val="20"/>
          <w:szCs w:val="20"/>
        </w:rPr>
        <w:t xml:space="preserve"> M €</w:t>
      </w:r>
      <w:r w:rsidRPr="00B827BE">
        <w:rPr>
          <w:rFonts w:ascii="Arial" w:hAnsi="Arial" w:cs="Arial"/>
          <w:sz w:val="20"/>
          <w:szCs w:val="20"/>
        </w:rPr>
        <w:t>, que suponen un 97,0% de los totales y son un 1,5% superiores a los del ejercicio 2018, incrementándose en 12,</w:t>
      </w:r>
      <w:r w:rsidR="000D323B">
        <w:rPr>
          <w:rFonts w:ascii="Arial" w:hAnsi="Arial" w:cs="Arial"/>
          <w:sz w:val="20"/>
          <w:szCs w:val="20"/>
        </w:rPr>
        <w:t>9</w:t>
      </w:r>
      <w:r w:rsidRPr="00B827BE">
        <w:rPr>
          <w:rFonts w:ascii="Arial" w:hAnsi="Arial" w:cs="Arial"/>
          <w:sz w:val="20"/>
          <w:szCs w:val="20"/>
        </w:rPr>
        <w:t xml:space="preserve"> M €.  </w:t>
      </w:r>
    </w:p>
    <w:p w:rsidR="00644907" w:rsidRPr="008A755C" w:rsidRDefault="00644907" w:rsidP="00716E04">
      <w:pPr>
        <w:pStyle w:val="Sangradetextonormal"/>
        <w:ind w:firstLine="0"/>
        <w:rPr>
          <w:rFonts w:ascii="Arial" w:hAnsi="Arial" w:cs="Arial"/>
          <w:color w:val="FF0000"/>
          <w:sz w:val="20"/>
          <w:szCs w:val="20"/>
        </w:rPr>
      </w:pPr>
    </w:p>
    <w:p w:rsidR="00644907" w:rsidRPr="00B827BE" w:rsidRDefault="00644907" w:rsidP="00716E04">
      <w:pPr>
        <w:pStyle w:val="Sangradetextonormal"/>
        <w:ind w:firstLine="0"/>
        <w:rPr>
          <w:rFonts w:ascii="Arial" w:hAnsi="Arial" w:cs="Arial"/>
          <w:sz w:val="20"/>
          <w:szCs w:val="20"/>
        </w:rPr>
      </w:pPr>
      <w:r w:rsidRPr="00B827BE">
        <w:rPr>
          <w:rFonts w:ascii="Arial" w:hAnsi="Arial" w:cs="Arial"/>
          <w:sz w:val="20"/>
          <w:szCs w:val="20"/>
        </w:rPr>
        <w:lastRenderedPageBreak/>
        <w:t>Como ya se ha comentado, se prevé acudir al endeudamiento por importe de 25 M €, con lo que el Presupuesto total se eleva en 37,</w:t>
      </w:r>
      <w:r w:rsidR="00424532">
        <w:rPr>
          <w:rFonts w:ascii="Arial" w:hAnsi="Arial" w:cs="Arial"/>
          <w:sz w:val="20"/>
          <w:szCs w:val="20"/>
        </w:rPr>
        <w:t>9</w:t>
      </w:r>
      <w:r w:rsidRPr="00B827BE">
        <w:rPr>
          <w:rFonts w:ascii="Arial" w:hAnsi="Arial" w:cs="Arial"/>
          <w:sz w:val="20"/>
          <w:szCs w:val="20"/>
        </w:rPr>
        <w:t xml:space="preserve"> M €, hasta situarse en 884,</w:t>
      </w:r>
      <w:r w:rsidR="00424532">
        <w:rPr>
          <w:rFonts w:ascii="Arial" w:hAnsi="Arial" w:cs="Arial"/>
          <w:sz w:val="20"/>
          <w:szCs w:val="20"/>
        </w:rPr>
        <w:t>5</w:t>
      </w:r>
      <w:r w:rsidRPr="00B827BE">
        <w:rPr>
          <w:rFonts w:ascii="Arial" w:hAnsi="Arial" w:cs="Arial"/>
          <w:sz w:val="20"/>
          <w:szCs w:val="20"/>
        </w:rPr>
        <w:t xml:space="preserve"> M €. </w:t>
      </w:r>
    </w:p>
    <w:p w:rsidR="00644907" w:rsidRPr="008A755C" w:rsidRDefault="00644907" w:rsidP="0025340D">
      <w:pPr>
        <w:pStyle w:val="Sangradetextonormal"/>
        <w:ind w:firstLine="0"/>
        <w:rPr>
          <w:rFonts w:ascii="Arial" w:hAnsi="Arial" w:cs="Arial"/>
          <w:color w:val="FF0000"/>
          <w:sz w:val="20"/>
          <w:szCs w:val="20"/>
        </w:rPr>
      </w:pPr>
    </w:p>
    <w:p w:rsidR="00644907" w:rsidRPr="008A755C" w:rsidRDefault="00644907" w:rsidP="00C7331D">
      <w:pPr>
        <w:pStyle w:val="Sangradetextonormal"/>
        <w:ind w:firstLine="0"/>
        <w:rPr>
          <w:rFonts w:ascii="Arial" w:hAnsi="Arial" w:cs="Arial"/>
          <w:color w:val="FF0000"/>
          <w:sz w:val="20"/>
          <w:szCs w:val="20"/>
        </w:rPr>
      </w:pPr>
    </w:p>
    <w:p w:rsidR="00644907" w:rsidRPr="00B827BE" w:rsidRDefault="00644907" w:rsidP="00716E04">
      <w:pPr>
        <w:pStyle w:val="Textoindependiente2"/>
        <w:pBdr>
          <w:bottom w:val="none" w:sz="0" w:space="0" w:color="auto"/>
        </w:pBdr>
        <w:jc w:val="both"/>
        <w:rPr>
          <w:rFonts w:ascii="Arial" w:hAnsi="Arial" w:cs="Arial"/>
          <w:sz w:val="20"/>
          <w:szCs w:val="20"/>
        </w:rPr>
      </w:pPr>
      <w:r w:rsidRPr="00B827BE">
        <w:rPr>
          <w:rFonts w:ascii="Arial" w:hAnsi="Arial" w:cs="Arial"/>
          <w:sz w:val="20"/>
          <w:szCs w:val="20"/>
        </w:rPr>
        <w:t>Seguidamente se exponen los aspectos más relevantes de las previsiones de ingresos en función de su naturaleza económica.</w:t>
      </w:r>
    </w:p>
    <w:p w:rsidR="00644907" w:rsidRPr="00B827BE" w:rsidRDefault="00644907" w:rsidP="00716E04">
      <w:pPr>
        <w:pStyle w:val="Textoindependiente2"/>
        <w:pBdr>
          <w:bottom w:val="none" w:sz="0" w:space="0" w:color="auto"/>
        </w:pBdr>
        <w:jc w:val="both"/>
        <w:rPr>
          <w:rFonts w:ascii="Arial" w:hAnsi="Arial" w:cs="Arial"/>
          <w:sz w:val="20"/>
          <w:szCs w:val="20"/>
        </w:rPr>
      </w:pPr>
    </w:p>
    <w:p w:rsidR="00644907" w:rsidRPr="00B827BE" w:rsidRDefault="00644907" w:rsidP="00716E04">
      <w:pPr>
        <w:pStyle w:val="Textoindependiente2"/>
        <w:pBdr>
          <w:bottom w:val="none" w:sz="0" w:space="0" w:color="auto"/>
        </w:pBdr>
        <w:jc w:val="both"/>
        <w:rPr>
          <w:rFonts w:ascii="Arial" w:hAnsi="Arial" w:cs="Arial"/>
          <w:b/>
          <w:bCs/>
          <w:sz w:val="20"/>
          <w:szCs w:val="20"/>
          <w:u w:val="single"/>
        </w:rPr>
      </w:pPr>
      <w:r w:rsidRPr="00B827BE">
        <w:rPr>
          <w:rFonts w:ascii="Arial" w:hAnsi="Arial" w:cs="Arial"/>
          <w:b/>
          <w:bCs/>
          <w:sz w:val="20"/>
          <w:szCs w:val="20"/>
          <w:u w:val="single"/>
        </w:rPr>
        <w:t>I. Impuestos Directos.</w:t>
      </w:r>
    </w:p>
    <w:p w:rsidR="00644907" w:rsidRPr="008A755C" w:rsidRDefault="00644907" w:rsidP="00555AE9">
      <w:pPr>
        <w:pStyle w:val="Textoindependiente2"/>
        <w:pBdr>
          <w:bottom w:val="none" w:sz="0" w:space="0" w:color="auto"/>
        </w:pBdr>
        <w:tabs>
          <w:tab w:val="left" w:pos="1800"/>
        </w:tabs>
        <w:jc w:val="both"/>
        <w:rPr>
          <w:rFonts w:ascii="Arial" w:hAnsi="Arial" w:cs="Arial"/>
          <w:color w:val="FF0000"/>
          <w:sz w:val="20"/>
          <w:szCs w:val="20"/>
        </w:rPr>
      </w:pPr>
    </w:p>
    <w:p w:rsidR="00644907" w:rsidRPr="00B827BE" w:rsidRDefault="00644907" w:rsidP="00555AE9">
      <w:pPr>
        <w:pStyle w:val="Textoindependiente2"/>
        <w:pBdr>
          <w:bottom w:val="none" w:sz="0" w:space="0" w:color="auto"/>
        </w:pBdr>
        <w:tabs>
          <w:tab w:val="left" w:pos="1800"/>
        </w:tabs>
        <w:jc w:val="both"/>
        <w:rPr>
          <w:rFonts w:ascii="Arial" w:hAnsi="Arial" w:cs="Arial"/>
          <w:sz w:val="20"/>
          <w:szCs w:val="20"/>
        </w:rPr>
      </w:pPr>
      <w:r w:rsidRPr="00B827BE">
        <w:rPr>
          <w:rFonts w:ascii="Arial" w:hAnsi="Arial" w:cs="Arial"/>
          <w:sz w:val="20"/>
          <w:szCs w:val="20"/>
        </w:rPr>
        <w:t xml:space="preserve">Los ingresos previstos para 2019 en concepto de impuestos directos se elevan a  </w:t>
      </w:r>
      <w:r w:rsidRPr="00B827BE">
        <w:rPr>
          <w:rFonts w:ascii="Arial" w:hAnsi="Arial" w:cs="Arial"/>
          <w:b/>
          <w:bCs/>
          <w:sz w:val="20"/>
          <w:szCs w:val="20"/>
        </w:rPr>
        <w:t xml:space="preserve">10,9 M €. </w:t>
      </w:r>
      <w:r w:rsidRPr="00B827BE">
        <w:rPr>
          <w:rFonts w:ascii="Arial" w:hAnsi="Arial" w:cs="Arial"/>
          <w:sz w:val="20"/>
          <w:szCs w:val="20"/>
        </w:rPr>
        <w:t>Este Capítulo</w:t>
      </w:r>
      <w:r w:rsidRPr="00B827BE">
        <w:rPr>
          <w:rFonts w:ascii="Arial" w:hAnsi="Arial" w:cs="Arial"/>
          <w:b/>
          <w:bCs/>
          <w:sz w:val="20"/>
          <w:szCs w:val="20"/>
        </w:rPr>
        <w:t xml:space="preserve"> </w:t>
      </w:r>
      <w:r w:rsidRPr="00B827BE">
        <w:rPr>
          <w:rFonts w:ascii="Arial" w:hAnsi="Arial" w:cs="Arial"/>
          <w:sz w:val="20"/>
          <w:szCs w:val="20"/>
        </w:rPr>
        <w:t>representa un 1,</w:t>
      </w:r>
      <w:r w:rsidR="00F10EA1">
        <w:rPr>
          <w:rFonts w:ascii="Arial" w:hAnsi="Arial" w:cs="Arial"/>
          <w:sz w:val="20"/>
          <w:szCs w:val="20"/>
        </w:rPr>
        <w:t>2</w:t>
      </w:r>
      <w:r w:rsidRPr="00B827BE">
        <w:rPr>
          <w:rFonts w:ascii="Arial" w:hAnsi="Arial" w:cs="Arial"/>
          <w:sz w:val="20"/>
          <w:szCs w:val="20"/>
        </w:rPr>
        <w:t>% del Presupuesto y</w:t>
      </w:r>
      <w:r w:rsidRPr="00B827BE">
        <w:rPr>
          <w:rFonts w:ascii="Arial" w:hAnsi="Arial" w:cs="Arial"/>
          <w:b/>
          <w:bCs/>
          <w:sz w:val="20"/>
          <w:szCs w:val="20"/>
        </w:rPr>
        <w:t xml:space="preserve"> </w:t>
      </w:r>
      <w:r w:rsidRPr="00B827BE">
        <w:rPr>
          <w:rFonts w:ascii="Arial" w:hAnsi="Arial" w:cs="Arial"/>
          <w:sz w:val="20"/>
          <w:szCs w:val="20"/>
        </w:rPr>
        <w:t>experimenta un ligero decremento de 0,1 M € respecto al ejercicio anterior.</w:t>
      </w:r>
      <w:r w:rsidRPr="00B827BE">
        <w:rPr>
          <w:rFonts w:ascii="Arial" w:hAnsi="Arial" w:cs="Arial"/>
          <w:b/>
          <w:bCs/>
          <w:sz w:val="20"/>
          <w:szCs w:val="20"/>
        </w:rPr>
        <w:t xml:space="preserve"> </w:t>
      </w:r>
      <w:r w:rsidRPr="00B827BE">
        <w:rPr>
          <w:rFonts w:ascii="Arial" w:hAnsi="Arial" w:cs="Arial"/>
          <w:sz w:val="20"/>
          <w:szCs w:val="20"/>
        </w:rPr>
        <w:t>Dentro del mismo se incluye:</w:t>
      </w:r>
    </w:p>
    <w:p w:rsidR="00644907" w:rsidRPr="00B827BE" w:rsidRDefault="00644907" w:rsidP="00716E04">
      <w:pPr>
        <w:pStyle w:val="Textoindependiente2"/>
        <w:pBdr>
          <w:bottom w:val="none" w:sz="0" w:space="0" w:color="auto"/>
        </w:pBdr>
        <w:jc w:val="both"/>
        <w:rPr>
          <w:rFonts w:ascii="Arial" w:hAnsi="Arial" w:cs="Arial"/>
          <w:sz w:val="20"/>
          <w:szCs w:val="20"/>
        </w:rPr>
      </w:pPr>
    </w:p>
    <w:p w:rsidR="00644907" w:rsidRPr="00B827BE" w:rsidRDefault="00644907" w:rsidP="00C11B5E">
      <w:pPr>
        <w:pStyle w:val="Textoindependiente2"/>
        <w:numPr>
          <w:ilvl w:val="0"/>
          <w:numId w:val="2"/>
        </w:numPr>
        <w:pBdr>
          <w:bottom w:val="none" w:sz="0" w:space="0" w:color="auto"/>
        </w:pBdr>
        <w:tabs>
          <w:tab w:val="clear" w:pos="720"/>
          <w:tab w:val="num" w:pos="288"/>
        </w:tabs>
        <w:ind w:left="364"/>
        <w:jc w:val="both"/>
        <w:rPr>
          <w:rFonts w:ascii="Arial" w:hAnsi="Arial" w:cs="Arial"/>
          <w:sz w:val="20"/>
          <w:szCs w:val="20"/>
        </w:rPr>
      </w:pPr>
      <w:r w:rsidRPr="00B827BE">
        <w:rPr>
          <w:rFonts w:ascii="Arial" w:hAnsi="Arial" w:cs="Arial"/>
          <w:sz w:val="20"/>
          <w:szCs w:val="20"/>
        </w:rPr>
        <w:t>La participación en las cuotas nacionales y provinciales del Impuesto sobre Actividades Económicas, que se mantiene en 1,0 M €, ajustándose a la recaudación del presente ejercicio.</w:t>
      </w:r>
    </w:p>
    <w:p w:rsidR="00644907" w:rsidRPr="00B827BE" w:rsidRDefault="00644907" w:rsidP="007E6CBE">
      <w:pPr>
        <w:pStyle w:val="Textoindependiente2"/>
        <w:numPr>
          <w:ilvl w:val="0"/>
          <w:numId w:val="2"/>
        </w:numPr>
        <w:pBdr>
          <w:bottom w:val="none" w:sz="0" w:space="0" w:color="auto"/>
        </w:pBdr>
        <w:tabs>
          <w:tab w:val="clear" w:pos="720"/>
          <w:tab w:val="num" w:pos="360"/>
        </w:tabs>
        <w:ind w:left="364"/>
        <w:jc w:val="both"/>
        <w:rPr>
          <w:rFonts w:ascii="Arial" w:hAnsi="Arial" w:cs="Arial"/>
          <w:sz w:val="20"/>
          <w:szCs w:val="20"/>
        </w:rPr>
      </w:pPr>
      <w:r w:rsidRPr="00B827BE">
        <w:rPr>
          <w:rFonts w:ascii="Arial" w:hAnsi="Arial" w:cs="Arial"/>
          <w:sz w:val="20"/>
          <w:szCs w:val="20"/>
        </w:rPr>
        <w:t xml:space="preserve">El recargo insular sobre las cuotas municipales del Impuesto de Actividades Económicas, cuya previsión se cifra en 3,5 M €, a la vista de la recaudación esperada en 2018. En la misma se incluye tanto la correspondiente a los recibos de IAE puestos al cobro por el Consorcio de Tributos de la isla de Tenerife y cuyo período de pago en voluntario finaliza en noviembre, como la cuantía proveniente de los Ayuntamientos no consorciados. </w:t>
      </w:r>
    </w:p>
    <w:p w:rsidR="00644907" w:rsidRPr="00B827BE" w:rsidRDefault="00644907" w:rsidP="007E6CBE">
      <w:pPr>
        <w:pStyle w:val="Textoindependiente2"/>
        <w:numPr>
          <w:ilvl w:val="0"/>
          <w:numId w:val="2"/>
        </w:numPr>
        <w:pBdr>
          <w:bottom w:val="none" w:sz="0" w:space="0" w:color="auto"/>
        </w:pBdr>
        <w:tabs>
          <w:tab w:val="clear" w:pos="720"/>
          <w:tab w:val="num" w:pos="360"/>
        </w:tabs>
        <w:ind w:left="364"/>
        <w:jc w:val="both"/>
        <w:rPr>
          <w:rFonts w:ascii="Arial" w:hAnsi="Arial" w:cs="Arial"/>
          <w:sz w:val="20"/>
          <w:szCs w:val="20"/>
        </w:rPr>
      </w:pPr>
      <w:r w:rsidRPr="00B827BE">
        <w:rPr>
          <w:rFonts w:ascii="Arial" w:hAnsi="Arial" w:cs="Arial"/>
          <w:sz w:val="20"/>
          <w:szCs w:val="20"/>
        </w:rPr>
        <w:t xml:space="preserve">La Participación en Tributos del Estado en concepto de I.R.P.F, cuya previsión se ha ajustado con las entregas a cuenta fijadas para el año 2018, previéndose la prórroga de los Presupuestos Generales del Estado del 2018, y al no haberse presentado aún un Proyecto de los mismos para 2019.  </w:t>
      </w:r>
    </w:p>
    <w:p w:rsidR="00644907" w:rsidRPr="008A755C" w:rsidRDefault="00644907" w:rsidP="00915CA0">
      <w:pPr>
        <w:pStyle w:val="Textoindependiente2"/>
        <w:pBdr>
          <w:bottom w:val="none" w:sz="0" w:space="0" w:color="auto"/>
        </w:pBdr>
        <w:ind w:left="360"/>
        <w:jc w:val="both"/>
        <w:rPr>
          <w:rFonts w:ascii="Arial" w:hAnsi="Arial" w:cs="Arial"/>
          <w:color w:val="FF0000"/>
          <w:sz w:val="20"/>
          <w:szCs w:val="20"/>
        </w:rPr>
      </w:pPr>
    </w:p>
    <w:p w:rsidR="00644907" w:rsidRPr="008A755C" w:rsidRDefault="00644907" w:rsidP="00915CA0">
      <w:pPr>
        <w:pStyle w:val="Textoindependiente2"/>
        <w:pBdr>
          <w:bottom w:val="none" w:sz="0" w:space="0" w:color="auto"/>
        </w:pBdr>
        <w:ind w:left="360"/>
        <w:jc w:val="both"/>
        <w:rPr>
          <w:rFonts w:ascii="Arial" w:hAnsi="Arial" w:cs="Arial"/>
          <w:color w:val="FF0000"/>
          <w:sz w:val="20"/>
          <w:szCs w:val="20"/>
        </w:rPr>
      </w:pPr>
    </w:p>
    <w:p w:rsidR="00644907" w:rsidRPr="004C6796" w:rsidRDefault="00644907" w:rsidP="00716E04">
      <w:pPr>
        <w:pStyle w:val="Textoindependiente2"/>
        <w:pBdr>
          <w:bottom w:val="none" w:sz="0" w:space="0" w:color="auto"/>
        </w:pBdr>
        <w:jc w:val="both"/>
        <w:rPr>
          <w:rFonts w:ascii="Arial" w:hAnsi="Arial" w:cs="Arial"/>
          <w:b/>
          <w:bCs/>
          <w:sz w:val="20"/>
          <w:szCs w:val="20"/>
          <w:u w:val="single"/>
        </w:rPr>
      </w:pPr>
      <w:r w:rsidRPr="004C6796">
        <w:rPr>
          <w:rFonts w:ascii="Arial" w:hAnsi="Arial" w:cs="Arial"/>
          <w:b/>
          <w:bCs/>
          <w:sz w:val="20"/>
          <w:szCs w:val="20"/>
          <w:u w:val="single"/>
        </w:rPr>
        <w:t>II. Impuestos Indirectos.</w:t>
      </w:r>
    </w:p>
    <w:p w:rsidR="00644907" w:rsidRPr="004C6796" w:rsidRDefault="00644907" w:rsidP="00716E04">
      <w:pPr>
        <w:pStyle w:val="Textoindependiente2"/>
        <w:pBdr>
          <w:bottom w:val="none" w:sz="0" w:space="0" w:color="auto"/>
        </w:pBdr>
        <w:jc w:val="both"/>
        <w:rPr>
          <w:rFonts w:ascii="Arial" w:hAnsi="Arial" w:cs="Arial"/>
          <w:sz w:val="20"/>
          <w:szCs w:val="20"/>
        </w:rPr>
      </w:pPr>
    </w:p>
    <w:p w:rsidR="00644907" w:rsidRPr="004C6796" w:rsidRDefault="00644907" w:rsidP="00716E04">
      <w:pPr>
        <w:pStyle w:val="Textoindependiente2"/>
        <w:pBdr>
          <w:bottom w:val="none" w:sz="0" w:space="0" w:color="auto"/>
        </w:pBdr>
        <w:jc w:val="both"/>
        <w:rPr>
          <w:rFonts w:ascii="Arial" w:hAnsi="Arial" w:cs="Arial"/>
          <w:sz w:val="20"/>
          <w:szCs w:val="20"/>
        </w:rPr>
      </w:pPr>
      <w:r w:rsidRPr="004C6796">
        <w:rPr>
          <w:rFonts w:ascii="Arial" w:hAnsi="Arial" w:cs="Arial"/>
          <w:sz w:val="20"/>
          <w:szCs w:val="20"/>
        </w:rPr>
        <w:t xml:space="preserve">El total de ingresos previstos en concepto de impuestos indirectos en el Presupuesto del Cabildo Insular de Tenerife para el ejercicio 2019, se cifra en </w:t>
      </w:r>
      <w:r w:rsidRPr="004C6796">
        <w:rPr>
          <w:rFonts w:ascii="Arial" w:hAnsi="Arial" w:cs="Arial"/>
          <w:b/>
          <w:bCs/>
          <w:sz w:val="20"/>
          <w:szCs w:val="20"/>
        </w:rPr>
        <w:t>408,6 M €</w:t>
      </w:r>
      <w:r w:rsidRPr="004C6796">
        <w:rPr>
          <w:rFonts w:ascii="Arial" w:hAnsi="Arial" w:cs="Arial"/>
          <w:sz w:val="20"/>
          <w:szCs w:val="20"/>
        </w:rPr>
        <w:t xml:space="preserve">, siendo éste el Capítulo de ingresos con </w:t>
      </w:r>
      <w:r w:rsidRPr="004C6796">
        <w:rPr>
          <w:rFonts w:ascii="Arial" w:hAnsi="Arial" w:cs="Arial"/>
          <w:b/>
          <w:bCs/>
          <w:sz w:val="20"/>
          <w:szCs w:val="20"/>
        </w:rPr>
        <w:t>mayor peso relativo sobre el total</w:t>
      </w:r>
      <w:r w:rsidRPr="004C6796">
        <w:rPr>
          <w:rFonts w:ascii="Arial" w:hAnsi="Arial" w:cs="Arial"/>
          <w:sz w:val="20"/>
          <w:szCs w:val="20"/>
        </w:rPr>
        <w:t xml:space="preserve"> del Presupuesto con un porcentaje del 46,2%. Experimenta una minoración de 60,2 M € con respecto al Presupuesto de 2018, esto es, una caída del 12,8%.</w:t>
      </w:r>
    </w:p>
    <w:p w:rsidR="00644907" w:rsidRPr="004C6796" w:rsidRDefault="00644907" w:rsidP="00716E04">
      <w:pPr>
        <w:pStyle w:val="Textoindependiente2"/>
        <w:pBdr>
          <w:bottom w:val="none" w:sz="0" w:space="0" w:color="auto"/>
        </w:pBdr>
        <w:jc w:val="both"/>
        <w:rPr>
          <w:rFonts w:ascii="Arial" w:hAnsi="Arial" w:cs="Arial"/>
          <w:sz w:val="20"/>
          <w:szCs w:val="20"/>
        </w:rPr>
      </w:pPr>
    </w:p>
    <w:p w:rsidR="00644907" w:rsidRPr="004C6796" w:rsidRDefault="00644907" w:rsidP="00716E04">
      <w:pPr>
        <w:pStyle w:val="Textoindependiente2"/>
        <w:pBdr>
          <w:bottom w:val="none" w:sz="0" w:space="0" w:color="auto"/>
        </w:pBdr>
        <w:jc w:val="both"/>
        <w:rPr>
          <w:rFonts w:ascii="Arial" w:hAnsi="Arial" w:cs="Arial"/>
          <w:sz w:val="20"/>
          <w:szCs w:val="20"/>
        </w:rPr>
      </w:pPr>
      <w:r w:rsidRPr="004C6796">
        <w:rPr>
          <w:rFonts w:ascii="Arial" w:hAnsi="Arial" w:cs="Arial"/>
          <w:sz w:val="20"/>
          <w:szCs w:val="20"/>
        </w:rPr>
        <w:t>En este capítulo intervienen los conceptos siguientes:</w:t>
      </w:r>
    </w:p>
    <w:p w:rsidR="00644907" w:rsidRPr="004C6796" w:rsidRDefault="00644907" w:rsidP="00C11B5E">
      <w:pPr>
        <w:pStyle w:val="Textoindependiente2"/>
        <w:numPr>
          <w:ilvl w:val="0"/>
          <w:numId w:val="2"/>
        </w:numPr>
        <w:pBdr>
          <w:bottom w:val="none" w:sz="0" w:space="0" w:color="auto"/>
        </w:pBdr>
        <w:tabs>
          <w:tab w:val="clear" w:pos="720"/>
          <w:tab w:val="num" w:pos="392"/>
        </w:tabs>
        <w:ind w:left="392"/>
        <w:jc w:val="both"/>
        <w:rPr>
          <w:rFonts w:ascii="Arial" w:hAnsi="Arial" w:cs="Arial"/>
          <w:sz w:val="20"/>
          <w:szCs w:val="20"/>
        </w:rPr>
      </w:pPr>
      <w:r w:rsidRPr="004C6796">
        <w:rPr>
          <w:rFonts w:ascii="Arial" w:hAnsi="Arial" w:cs="Arial"/>
          <w:sz w:val="20"/>
          <w:szCs w:val="20"/>
        </w:rPr>
        <w:t xml:space="preserve">La Participación en Tributos del Estado en concepto de impuestos sobre el alcohol, cerveza y productos intermedios, cuya previsión se ha ajustado con las entregas a cuenta fijadas para el año 2018, previéndose la prórroga de los Presupuestos Generales del Estado del 2018, al no haberse presentado aún un Proyecto de los mismos para 2019. </w:t>
      </w:r>
    </w:p>
    <w:p w:rsidR="00644907" w:rsidRPr="008A755C" w:rsidRDefault="00644907" w:rsidP="00C11B5E">
      <w:pPr>
        <w:pStyle w:val="Textoindependiente2"/>
        <w:pBdr>
          <w:bottom w:val="none" w:sz="0" w:space="0" w:color="auto"/>
        </w:pBdr>
        <w:tabs>
          <w:tab w:val="num" w:pos="392"/>
        </w:tabs>
        <w:ind w:left="392"/>
        <w:jc w:val="both"/>
        <w:rPr>
          <w:rFonts w:ascii="Arial" w:hAnsi="Arial" w:cs="Arial"/>
          <w:color w:val="FF0000"/>
          <w:sz w:val="20"/>
          <w:szCs w:val="20"/>
        </w:rPr>
      </w:pPr>
    </w:p>
    <w:p w:rsidR="00644907" w:rsidRPr="004C6796" w:rsidRDefault="00644907" w:rsidP="00C11B5E">
      <w:pPr>
        <w:pStyle w:val="Textoindependiente2"/>
        <w:numPr>
          <w:ilvl w:val="0"/>
          <w:numId w:val="2"/>
        </w:numPr>
        <w:pBdr>
          <w:bottom w:val="none" w:sz="0" w:space="0" w:color="auto"/>
        </w:pBdr>
        <w:tabs>
          <w:tab w:val="clear" w:pos="720"/>
          <w:tab w:val="num" w:pos="392"/>
        </w:tabs>
        <w:ind w:left="392"/>
        <w:jc w:val="both"/>
        <w:rPr>
          <w:rFonts w:ascii="Arial" w:hAnsi="Arial" w:cs="Arial"/>
          <w:sz w:val="20"/>
          <w:szCs w:val="20"/>
        </w:rPr>
      </w:pPr>
      <w:r w:rsidRPr="004C6796">
        <w:rPr>
          <w:rFonts w:ascii="Arial" w:hAnsi="Arial" w:cs="Arial"/>
          <w:sz w:val="20"/>
          <w:szCs w:val="20"/>
        </w:rPr>
        <w:t xml:space="preserve">Los ingresos derivados de la Exacción Fiscal sobre el Consumo de Gasolina y Gasóleo de Automoción recogida en el artículo 8 de la Ley 9/2003, aplicada la tarifa vigente según la Ordenanza Fiscal reguladora correspondiente, que comenzó a aplicarse el día 1 de octubre de 2012. </w:t>
      </w:r>
    </w:p>
    <w:p w:rsidR="00644907" w:rsidRPr="004C6796" w:rsidRDefault="00644907" w:rsidP="00C11B5E">
      <w:pPr>
        <w:pStyle w:val="Textoindependiente2"/>
        <w:pBdr>
          <w:bottom w:val="none" w:sz="0" w:space="0" w:color="auto"/>
        </w:pBdr>
        <w:tabs>
          <w:tab w:val="num" w:pos="392"/>
        </w:tabs>
        <w:ind w:left="392"/>
        <w:jc w:val="both"/>
        <w:rPr>
          <w:rFonts w:ascii="Arial" w:hAnsi="Arial" w:cs="Arial"/>
          <w:sz w:val="20"/>
          <w:szCs w:val="20"/>
        </w:rPr>
      </w:pPr>
      <w:r w:rsidRPr="004C6796">
        <w:rPr>
          <w:rFonts w:ascii="Arial" w:hAnsi="Arial" w:cs="Arial"/>
          <w:sz w:val="20"/>
          <w:szCs w:val="20"/>
        </w:rPr>
        <w:t>Se ha ajustado la previsión a la baja en 0,2 M €, a la vista de la evolución de la recaudación durante 2018, situándose la estimación en 11,1 M €.</w:t>
      </w:r>
    </w:p>
    <w:p w:rsidR="00644907" w:rsidRPr="008A755C" w:rsidRDefault="00644907" w:rsidP="00C11B5E">
      <w:pPr>
        <w:pStyle w:val="Textoindependiente2"/>
        <w:pBdr>
          <w:bottom w:val="none" w:sz="0" w:space="0" w:color="auto"/>
        </w:pBdr>
        <w:tabs>
          <w:tab w:val="num" w:pos="392"/>
        </w:tabs>
        <w:ind w:left="392"/>
        <w:jc w:val="both"/>
        <w:rPr>
          <w:rFonts w:ascii="Arial" w:hAnsi="Arial" w:cs="Arial"/>
          <w:color w:val="FF0000"/>
          <w:sz w:val="20"/>
          <w:szCs w:val="20"/>
        </w:rPr>
      </w:pPr>
    </w:p>
    <w:p w:rsidR="00644907" w:rsidRPr="004C6796" w:rsidRDefault="00644907" w:rsidP="00C11B5E">
      <w:pPr>
        <w:numPr>
          <w:ilvl w:val="0"/>
          <w:numId w:val="8"/>
        </w:numPr>
        <w:tabs>
          <w:tab w:val="clear" w:pos="720"/>
          <w:tab w:val="num" w:pos="392"/>
        </w:tabs>
        <w:spacing w:line="360" w:lineRule="auto"/>
        <w:ind w:left="392"/>
        <w:jc w:val="both"/>
        <w:rPr>
          <w:rFonts w:ascii="Arial" w:hAnsi="Arial" w:cs="Arial"/>
          <w:sz w:val="20"/>
          <w:szCs w:val="20"/>
        </w:rPr>
      </w:pPr>
      <w:r w:rsidRPr="004C6796">
        <w:rPr>
          <w:rFonts w:ascii="Arial" w:hAnsi="Arial" w:cs="Arial"/>
          <w:b/>
          <w:bCs/>
          <w:sz w:val="20"/>
          <w:szCs w:val="20"/>
        </w:rPr>
        <w:t>Los recursos derivados del Régimen Económico Fiscal de Canarias</w:t>
      </w:r>
      <w:r w:rsidRPr="004C6796">
        <w:rPr>
          <w:rFonts w:ascii="Arial" w:hAnsi="Arial" w:cs="Arial"/>
          <w:sz w:val="20"/>
          <w:szCs w:val="20"/>
          <w:u w:val="single"/>
        </w:rPr>
        <w:t>.</w:t>
      </w:r>
    </w:p>
    <w:p w:rsidR="00644907" w:rsidRPr="004C6796" w:rsidRDefault="00644907" w:rsidP="00C11B5E">
      <w:pPr>
        <w:tabs>
          <w:tab w:val="num" w:pos="392"/>
        </w:tabs>
        <w:spacing w:line="360" w:lineRule="auto"/>
        <w:ind w:left="392"/>
        <w:jc w:val="both"/>
        <w:rPr>
          <w:rFonts w:ascii="Arial" w:hAnsi="Arial" w:cs="Arial"/>
          <w:sz w:val="20"/>
          <w:szCs w:val="20"/>
        </w:rPr>
      </w:pPr>
      <w:r w:rsidRPr="004C6796">
        <w:rPr>
          <w:rFonts w:ascii="Arial" w:hAnsi="Arial" w:cs="Arial"/>
          <w:sz w:val="20"/>
          <w:szCs w:val="20"/>
        </w:rPr>
        <w:t xml:space="preserve">Suponen el </w:t>
      </w:r>
      <w:r w:rsidRPr="004C6796">
        <w:rPr>
          <w:rFonts w:ascii="Arial" w:hAnsi="Arial" w:cs="Arial"/>
          <w:b/>
          <w:bCs/>
          <w:sz w:val="20"/>
          <w:szCs w:val="20"/>
        </w:rPr>
        <w:t>46,</w:t>
      </w:r>
      <w:r w:rsidR="00585A1C">
        <w:rPr>
          <w:rFonts w:ascii="Arial" w:hAnsi="Arial" w:cs="Arial"/>
          <w:b/>
          <w:bCs/>
          <w:sz w:val="20"/>
          <w:szCs w:val="20"/>
        </w:rPr>
        <w:t>4</w:t>
      </w:r>
      <w:r w:rsidRPr="004C6796">
        <w:rPr>
          <w:rFonts w:ascii="Arial" w:hAnsi="Arial" w:cs="Arial"/>
          <w:b/>
          <w:bCs/>
          <w:sz w:val="20"/>
          <w:szCs w:val="20"/>
        </w:rPr>
        <w:t>% de los ingresos no financieros</w:t>
      </w:r>
      <w:r w:rsidRPr="004C6796">
        <w:rPr>
          <w:rFonts w:ascii="Arial" w:hAnsi="Arial" w:cs="Arial"/>
          <w:sz w:val="20"/>
          <w:szCs w:val="20"/>
        </w:rPr>
        <w:t xml:space="preserve">, y su reflejo en el Presupuesto presenta una </w:t>
      </w:r>
      <w:r w:rsidRPr="004C6796">
        <w:rPr>
          <w:rFonts w:ascii="Arial" w:hAnsi="Arial" w:cs="Arial"/>
          <w:b/>
          <w:bCs/>
          <w:sz w:val="20"/>
          <w:szCs w:val="20"/>
        </w:rPr>
        <w:t>disminución del 13,0%</w:t>
      </w:r>
      <w:r w:rsidRPr="004C6796">
        <w:rPr>
          <w:rFonts w:ascii="Arial" w:hAnsi="Arial" w:cs="Arial"/>
          <w:sz w:val="20"/>
          <w:szCs w:val="20"/>
        </w:rPr>
        <w:t xml:space="preserve"> respecto a las previsiones para el año 2018, esto es, un descenso de 59,7 M €.</w:t>
      </w:r>
    </w:p>
    <w:p w:rsidR="00644907" w:rsidRPr="004C6796" w:rsidRDefault="00644907" w:rsidP="00C11B5E">
      <w:pPr>
        <w:tabs>
          <w:tab w:val="num" w:pos="392"/>
        </w:tabs>
        <w:spacing w:line="360" w:lineRule="auto"/>
        <w:ind w:left="392"/>
        <w:jc w:val="both"/>
        <w:rPr>
          <w:rFonts w:ascii="Arial" w:hAnsi="Arial" w:cs="Arial"/>
          <w:sz w:val="20"/>
          <w:szCs w:val="20"/>
        </w:rPr>
      </w:pPr>
    </w:p>
    <w:p w:rsidR="00644907" w:rsidRPr="004C6796" w:rsidRDefault="00644907" w:rsidP="00C11B5E">
      <w:pPr>
        <w:tabs>
          <w:tab w:val="num" w:pos="392"/>
        </w:tabs>
        <w:spacing w:line="360" w:lineRule="auto"/>
        <w:ind w:left="392"/>
        <w:jc w:val="both"/>
        <w:rPr>
          <w:rFonts w:ascii="Arial" w:hAnsi="Arial" w:cs="Arial"/>
          <w:sz w:val="20"/>
          <w:szCs w:val="20"/>
        </w:rPr>
      </w:pPr>
      <w:r w:rsidRPr="004C6796">
        <w:rPr>
          <w:rFonts w:ascii="Arial" w:hAnsi="Arial" w:cs="Arial"/>
          <w:sz w:val="20"/>
          <w:szCs w:val="20"/>
        </w:rPr>
        <w:t>Los recursos del REF que conforman el Bloque de Financiación Canario regulado en la Ley 9/2003, de 3 de abril, de Medidas Tributarias y de Financiación de las Haciendas Territoriales,  que percibe el Cabildo Insular de Tenerife, y a su vez distribuye entre los Ayuntamientos, son el I.G.I.C., el A.I.E.M, y el Impuesto Especial sobre Matriculación.</w:t>
      </w:r>
    </w:p>
    <w:p w:rsidR="00644907" w:rsidRPr="008A755C" w:rsidRDefault="00644907" w:rsidP="00C11B5E">
      <w:pPr>
        <w:tabs>
          <w:tab w:val="num" w:pos="392"/>
        </w:tabs>
        <w:spacing w:line="360" w:lineRule="auto"/>
        <w:ind w:left="392"/>
        <w:jc w:val="both"/>
        <w:rPr>
          <w:rFonts w:ascii="Arial" w:hAnsi="Arial" w:cs="Arial"/>
          <w:color w:val="FF0000"/>
          <w:sz w:val="20"/>
          <w:szCs w:val="20"/>
        </w:rPr>
      </w:pPr>
    </w:p>
    <w:p w:rsidR="00644907" w:rsidRPr="004C6796" w:rsidRDefault="00644907" w:rsidP="00C11B5E">
      <w:pPr>
        <w:spacing w:line="360" w:lineRule="auto"/>
        <w:ind w:left="406"/>
        <w:jc w:val="both"/>
        <w:rPr>
          <w:rFonts w:ascii="Arial" w:hAnsi="Arial" w:cs="Arial"/>
          <w:sz w:val="20"/>
          <w:szCs w:val="20"/>
        </w:rPr>
      </w:pPr>
      <w:r w:rsidRPr="004C6796">
        <w:rPr>
          <w:rFonts w:ascii="Arial" w:hAnsi="Arial" w:cs="Arial"/>
          <w:sz w:val="20"/>
          <w:szCs w:val="20"/>
        </w:rPr>
        <w:t xml:space="preserve">La variación registrada en las estimaciones presupuestarias de estos recursos en el Presupuesto insular con respecto al ejercicio anterior conjuga la derivada de las entregas a cuenta a percibir procedentes de la Comunidad Autónoma, con la de la previsión de la liquidación (ya sea a ingresar o a devolver) de tales recursos correspondiente al ejercicio anterior. </w:t>
      </w:r>
    </w:p>
    <w:p w:rsidR="00644907" w:rsidRPr="008A755C" w:rsidRDefault="00644907" w:rsidP="00C11B5E">
      <w:pPr>
        <w:spacing w:line="360" w:lineRule="auto"/>
        <w:ind w:left="406"/>
        <w:jc w:val="both"/>
        <w:rPr>
          <w:rFonts w:ascii="Arial" w:hAnsi="Arial" w:cs="Arial"/>
          <w:color w:val="FF0000"/>
          <w:sz w:val="20"/>
          <w:szCs w:val="20"/>
        </w:rPr>
      </w:pPr>
    </w:p>
    <w:p w:rsidR="00644907" w:rsidRPr="004C6796" w:rsidRDefault="00644907" w:rsidP="00C11B5E">
      <w:pPr>
        <w:spacing w:line="360" w:lineRule="auto"/>
        <w:ind w:left="406"/>
        <w:jc w:val="both"/>
        <w:rPr>
          <w:rFonts w:ascii="Arial" w:hAnsi="Arial" w:cs="Arial"/>
          <w:sz w:val="20"/>
          <w:szCs w:val="20"/>
        </w:rPr>
      </w:pPr>
      <w:r w:rsidRPr="004C6796">
        <w:rPr>
          <w:rFonts w:ascii="Arial" w:hAnsi="Arial" w:cs="Arial"/>
          <w:sz w:val="20"/>
          <w:szCs w:val="20"/>
        </w:rPr>
        <w:t>El Gobierno de Canarias ha comunicado las previsiones iniciales de recaudación de los recursos del Bloque de Financiación Canario para 2019, que experimentan una reducción del 4% respecto a las mismas para 2018.  El Gobierno ha estimado crecimiento positivo en la recaudación del Impuesto sobre Matriculación, y negativo en la de AIEM e IGIC. La  recaudación prevista por IGIC desciende un 4,5% por la incidencia de las modificaciones normativas en IGIC introducidas en el Proyecto de Ley de los Presupuestos Generales de la Comunidad Autónoma Canaria para 2019.</w:t>
      </w:r>
    </w:p>
    <w:p w:rsidR="00644907" w:rsidRPr="008A755C" w:rsidRDefault="00644907" w:rsidP="00C11B5E">
      <w:pPr>
        <w:spacing w:line="360" w:lineRule="auto"/>
        <w:ind w:left="406"/>
        <w:jc w:val="both"/>
        <w:rPr>
          <w:rFonts w:ascii="Arial" w:hAnsi="Arial" w:cs="Arial"/>
          <w:color w:val="FF0000"/>
          <w:sz w:val="20"/>
          <w:szCs w:val="20"/>
        </w:rPr>
      </w:pPr>
    </w:p>
    <w:p w:rsidR="00644907" w:rsidRPr="004C6796" w:rsidRDefault="00644907" w:rsidP="00C11B5E">
      <w:pPr>
        <w:spacing w:line="360" w:lineRule="auto"/>
        <w:ind w:left="406"/>
        <w:jc w:val="both"/>
        <w:rPr>
          <w:rFonts w:ascii="Arial" w:hAnsi="Arial" w:cs="Arial"/>
          <w:sz w:val="20"/>
          <w:szCs w:val="20"/>
        </w:rPr>
      </w:pPr>
      <w:r w:rsidRPr="004C6796">
        <w:rPr>
          <w:rFonts w:ascii="Arial" w:hAnsi="Arial" w:cs="Arial"/>
          <w:sz w:val="20"/>
          <w:szCs w:val="20"/>
        </w:rPr>
        <w:t>Conforme a lo previsto en el artículo 1 de la Orden de 23 de mayo de 2003, por la que se regula el procedimiento de distribución de los recursos financieros derivados del Bloque de Financiación Canario, las entregas a cuenta a los Cabildos Insulares de estos recursos se determinan tomando como base las previsiones iniciales de recaudación de los mismos que figuren en los Presupuestos Generales de la Comunidad Autónoma de Canarias, las cuales ascienden a 1.837,5 M €.</w:t>
      </w:r>
    </w:p>
    <w:p w:rsidR="00644907" w:rsidRPr="008A755C" w:rsidRDefault="00644907" w:rsidP="00C11B5E">
      <w:pPr>
        <w:spacing w:line="360" w:lineRule="auto"/>
        <w:ind w:left="406"/>
        <w:jc w:val="both"/>
        <w:rPr>
          <w:rFonts w:ascii="Arial" w:hAnsi="Arial" w:cs="Arial"/>
          <w:color w:val="FF0000"/>
          <w:sz w:val="20"/>
          <w:szCs w:val="20"/>
        </w:rPr>
      </w:pPr>
    </w:p>
    <w:p w:rsidR="00644907" w:rsidRPr="00443D97" w:rsidRDefault="00644907" w:rsidP="00C11B5E">
      <w:pPr>
        <w:spacing w:line="360" w:lineRule="auto"/>
        <w:ind w:left="406"/>
        <w:jc w:val="both"/>
        <w:rPr>
          <w:rFonts w:ascii="Arial" w:hAnsi="Arial" w:cs="Arial"/>
          <w:sz w:val="20"/>
          <w:szCs w:val="20"/>
        </w:rPr>
      </w:pPr>
      <w:r w:rsidRPr="00443D97">
        <w:rPr>
          <w:rFonts w:ascii="Arial" w:hAnsi="Arial" w:cs="Arial"/>
          <w:sz w:val="20"/>
          <w:szCs w:val="20"/>
        </w:rPr>
        <w:lastRenderedPageBreak/>
        <w:t>Dicha cuantía se distribuye entre la Comunidad Autónoma y las Corporaciones Locales una vez minorados los gastos de gestión de los recursos, conforme a lo dispuesto en el artículo 3 de la Ley 9/2003, de 3 de abril, de Medidas Tributarias y de Financiación de las Haciendas Territoriales.</w:t>
      </w:r>
    </w:p>
    <w:p w:rsidR="00644907" w:rsidRPr="008A755C" w:rsidRDefault="00644907" w:rsidP="00C11B5E">
      <w:pPr>
        <w:spacing w:line="360" w:lineRule="auto"/>
        <w:ind w:left="406"/>
        <w:jc w:val="both"/>
        <w:rPr>
          <w:rFonts w:ascii="Arial" w:hAnsi="Arial" w:cs="Arial"/>
          <w:color w:val="FF0000"/>
          <w:sz w:val="20"/>
          <w:szCs w:val="20"/>
        </w:rPr>
      </w:pPr>
    </w:p>
    <w:p w:rsidR="00644907" w:rsidRPr="00443D97" w:rsidRDefault="00644907" w:rsidP="00C11B5E">
      <w:pPr>
        <w:spacing w:line="360" w:lineRule="auto"/>
        <w:ind w:left="406"/>
        <w:jc w:val="both"/>
        <w:rPr>
          <w:rFonts w:ascii="Arial" w:hAnsi="Arial" w:cs="Arial"/>
          <w:sz w:val="20"/>
          <w:szCs w:val="20"/>
        </w:rPr>
      </w:pPr>
      <w:r w:rsidRPr="00443D97">
        <w:rPr>
          <w:rFonts w:ascii="Arial" w:hAnsi="Arial" w:cs="Arial"/>
          <w:sz w:val="20"/>
          <w:szCs w:val="20"/>
        </w:rPr>
        <w:t xml:space="preserve">A la vista de las previsiones de recaudación tributaria de los recursos del REF que conforman el Bloque de Financiación Canario, y en base a las reglas de reparto contenidas en la antes citada Ley 9/2003, las entregas a cuenta correspondientes a Tenerife en 2019 se han estimado en 408,5 M €.  Así pues, los ingresos previstos por dicho concepto disminuyen en 17,0 M € respecto al 2018. </w:t>
      </w:r>
    </w:p>
    <w:p w:rsidR="00644907" w:rsidRPr="008A755C" w:rsidRDefault="00644907" w:rsidP="00C11B5E">
      <w:pPr>
        <w:spacing w:line="360" w:lineRule="auto"/>
        <w:ind w:left="406"/>
        <w:jc w:val="both"/>
        <w:rPr>
          <w:rFonts w:ascii="Arial" w:hAnsi="Arial" w:cs="Arial"/>
          <w:color w:val="FF0000"/>
          <w:sz w:val="20"/>
          <w:szCs w:val="20"/>
        </w:rPr>
      </w:pPr>
    </w:p>
    <w:p w:rsidR="00644907" w:rsidRPr="00443D97" w:rsidRDefault="00644907" w:rsidP="00C11B5E">
      <w:pPr>
        <w:spacing w:line="360" w:lineRule="auto"/>
        <w:ind w:left="406"/>
        <w:jc w:val="both"/>
        <w:rPr>
          <w:rFonts w:ascii="Arial" w:hAnsi="Arial" w:cs="Arial"/>
          <w:sz w:val="20"/>
          <w:szCs w:val="20"/>
        </w:rPr>
      </w:pPr>
      <w:r w:rsidRPr="00443D97">
        <w:rPr>
          <w:rFonts w:ascii="Arial" w:hAnsi="Arial" w:cs="Arial"/>
          <w:sz w:val="20"/>
          <w:szCs w:val="20"/>
        </w:rPr>
        <w:t>Por otro lado, a la vista de la evolución de la recaudación de los recursos REF en el ejercicio 2018, la Comunidad Autónoma ha comunicado la previsión de recaudación final al cierre del ejercicio 2018, que quedaría por debajo en 49,2 M € respecto de la inicialmente estimada y que determinó las entregas a cuenta que se perciben por las Corporaciones Locales.  Ello origina la previsible devolución por las Corporaciones Locales del exceso que se les entregó a cuenta.</w:t>
      </w:r>
    </w:p>
    <w:p w:rsidR="00644907" w:rsidRPr="008A755C" w:rsidRDefault="00644907" w:rsidP="00C11B5E">
      <w:pPr>
        <w:spacing w:line="360" w:lineRule="auto"/>
        <w:ind w:left="406"/>
        <w:jc w:val="both"/>
        <w:rPr>
          <w:rFonts w:ascii="Arial" w:hAnsi="Arial" w:cs="Arial"/>
          <w:color w:val="FF0000"/>
          <w:sz w:val="20"/>
          <w:szCs w:val="20"/>
        </w:rPr>
      </w:pPr>
    </w:p>
    <w:p w:rsidR="00644907" w:rsidRPr="00443D97" w:rsidRDefault="00644907" w:rsidP="00C11B5E">
      <w:pPr>
        <w:spacing w:line="360" w:lineRule="auto"/>
        <w:ind w:left="406"/>
        <w:jc w:val="both"/>
        <w:rPr>
          <w:rFonts w:ascii="Arial" w:hAnsi="Arial" w:cs="Arial"/>
          <w:sz w:val="20"/>
          <w:szCs w:val="20"/>
        </w:rPr>
      </w:pPr>
      <w:r w:rsidRPr="00443D97">
        <w:rPr>
          <w:rFonts w:ascii="Arial" w:hAnsi="Arial" w:cs="Arial"/>
          <w:sz w:val="20"/>
          <w:szCs w:val="20"/>
        </w:rPr>
        <w:t xml:space="preserve">En base a dichos datos, y aplicando las ya mencionadas reglas de reparto de la recaudación tributaria entre las diferentes Administraciones, se ha estimado una liquidación negativa para la isla de Tenerife a realizar en 2019 de dichos recursos, cifrándola en -10,2 M €.    </w:t>
      </w:r>
    </w:p>
    <w:p w:rsidR="00644907" w:rsidRPr="00443D97" w:rsidRDefault="00644907" w:rsidP="00C11B5E">
      <w:pPr>
        <w:spacing w:line="360" w:lineRule="auto"/>
        <w:ind w:left="406"/>
        <w:jc w:val="both"/>
        <w:rPr>
          <w:rFonts w:ascii="Arial" w:hAnsi="Arial" w:cs="Arial"/>
          <w:sz w:val="20"/>
          <w:szCs w:val="20"/>
        </w:rPr>
      </w:pPr>
    </w:p>
    <w:p w:rsidR="00644907" w:rsidRDefault="00644907" w:rsidP="00C11B5E">
      <w:pPr>
        <w:spacing w:line="360" w:lineRule="auto"/>
        <w:ind w:left="406"/>
        <w:jc w:val="both"/>
        <w:rPr>
          <w:rFonts w:ascii="Arial" w:hAnsi="Arial" w:cs="Arial"/>
          <w:sz w:val="20"/>
          <w:szCs w:val="20"/>
        </w:rPr>
      </w:pPr>
      <w:r w:rsidRPr="00443D97">
        <w:rPr>
          <w:rFonts w:ascii="Arial" w:hAnsi="Arial" w:cs="Arial"/>
          <w:sz w:val="20"/>
          <w:szCs w:val="20"/>
        </w:rPr>
        <w:t xml:space="preserve">De este modo, los ingresos por recursos del REF reflejados en el Presupuesto del Cabildo, presentan las siguientes variaciones: </w:t>
      </w:r>
    </w:p>
    <w:p w:rsidR="003E3D1A" w:rsidRDefault="003E3D1A" w:rsidP="00C11B5E">
      <w:pPr>
        <w:spacing w:line="360" w:lineRule="auto"/>
        <w:ind w:left="406"/>
        <w:jc w:val="both"/>
        <w:rPr>
          <w:rFonts w:ascii="Arial" w:hAnsi="Arial" w:cs="Arial"/>
          <w:sz w:val="20"/>
          <w:szCs w:val="20"/>
        </w:rPr>
      </w:pPr>
    </w:p>
    <w:p w:rsidR="003E3D1A" w:rsidRPr="00443D97" w:rsidRDefault="003E3D1A" w:rsidP="00C11B5E">
      <w:pPr>
        <w:spacing w:line="360" w:lineRule="auto"/>
        <w:ind w:left="406"/>
        <w:jc w:val="both"/>
        <w:rPr>
          <w:rFonts w:ascii="Arial" w:hAnsi="Arial" w:cs="Arial"/>
          <w:sz w:val="20"/>
          <w:szCs w:val="20"/>
        </w:rPr>
      </w:pPr>
      <w:r w:rsidRPr="003E3D1A">
        <w:drawing>
          <wp:inline distT="0" distB="0" distL="0" distR="0" wp14:anchorId="2C4CF026" wp14:editId="1EA5B248">
            <wp:extent cx="5106924" cy="75411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7404" cy="754182"/>
                    </a:xfrm>
                    <a:prstGeom prst="rect">
                      <a:avLst/>
                    </a:prstGeom>
                    <a:noFill/>
                    <a:ln>
                      <a:noFill/>
                    </a:ln>
                  </pic:spPr>
                </pic:pic>
              </a:graphicData>
            </a:graphic>
          </wp:inline>
        </w:drawing>
      </w:r>
    </w:p>
    <w:p w:rsidR="00644907" w:rsidRPr="008A755C" w:rsidRDefault="00644907" w:rsidP="00C11B5E">
      <w:pPr>
        <w:spacing w:line="360" w:lineRule="auto"/>
        <w:ind w:left="406"/>
        <w:jc w:val="both"/>
        <w:rPr>
          <w:rFonts w:ascii="Arial" w:hAnsi="Arial" w:cs="Arial"/>
          <w:color w:val="FF0000"/>
          <w:sz w:val="20"/>
          <w:szCs w:val="20"/>
        </w:rPr>
      </w:pPr>
    </w:p>
    <w:p w:rsidR="00644907" w:rsidRPr="00443D97" w:rsidRDefault="00644907" w:rsidP="00C11B5E">
      <w:pPr>
        <w:spacing w:line="360" w:lineRule="auto"/>
        <w:ind w:left="406"/>
        <w:jc w:val="both"/>
        <w:rPr>
          <w:rFonts w:ascii="Arial" w:hAnsi="Arial" w:cs="Arial"/>
          <w:sz w:val="20"/>
          <w:szCs w:val="20"/>
        </w:rPr>
      </w:pPr>
      <w:r w:rsidRPr="00443D97">
        <w:rPr>
          <w:rFonts w:ascii="Arial" w:hAnsi="Arial" w:cs="Arial"/>
          <w:sz w:val="20"/>
          <w:szCs w:val="20"/>
        </w:rPr>
        <w:t>Para compensar a las Corporaciones Locales por la incidencia recaudatoria que origine la reducción del tipo impositivo general del IGIC del 7% al 6,5%, el Gobierno de Canarias ha consignado una aportación específica por importe de 41,1 M €, en el Proyecto de Ley de PGCAC 2019, que se distribuirá entre las mismas con los mismos criterios que los recursos que conforman el Bloque de Financiación Canario, según prevé la disposición adicional sexagésima primera. Se estima que corresponderán a Tenerife 16,1 M €, que se consignan en el capítulo 4 del Presupuesto de Ingresos.</w:t>
      </w:r>
    </w:p>
    <w:p w:rsidR="00644907" w:rsidRPr="008A755C" w:rsidRDefault="00644907" w:rsidP="00C11B5E">
      <w:pPr>
        <w:spacing w:line="360" w:lineRule="auto"/>
        <w:ind w:left="406"/>
        <w:jc w:val="both"/>
        <w:rPr>
          <w:rFonts w:ascii="Arial" w:hAnsi="Arial" w:cs="Arial"/>
          <w:color w:val="FF0000"/>
          <w:sz w:val="20"/>
          <w:szCs w:val="20"/>
        </w:rPr>
      </w:pPr>
    </w:p>
    <w:p w:rsidR="00644907" w:rsidRDefault="00644907" w:rsidP="00C11B5E">
      <w:pPr>
        <w:pStyle w:val="Textoindependiente2"/>
        <w:pBdr>
          <w:bottom w:val="none" w:sz="0" w:space="0" w:color="auto"/>
        </w:pBdr>
        <w:ind w:left="406"/>
        <w:jc w:val="both"/>
        <w:rPr>
          <w:rFonts w:ascii="Arial" w:hAnsi="Arial" w:cs="Arial"/>
          <w:sz w:val="20"/>
          <w:szCs w:val="20"/>
        </w:rPr>
      </w:pPr>
      <w:r w:rsidRPr="00443D97">
        <w:rPr>
          <w:rFonts w:ascii="Arial" w:hAnsi="Arial" w:cs="Arial"/>
          <w:sz w:val="20"/>
          <w:szCs w:val="20"/>
        </w:rPr>
        <w:t xml:space="preserve">En el siguiente cuadro se muestra el detalle de los ingresos del Bloque de Financiación Canario y su distribución entre el Cabildo y los Ayuntamientos de la Isla, repartidos en </w:t>
      </w:r>
      <w:r w:rsidRPr="00443D97">
        <w:rPr>
          <w:rFonts w:ascii="Arial" w:hAnsi="Arial" w:cs="Arial"/>
          <w:sz w:val="20"/>
          <w:szCs w:val="20"/>
        </w:rPr>
        <w:lastRenderedPageBreak/>
        <w:t xml:space="preserve">base a los últimos datos de población disponibles y conforme a lo dispuesto en la Ley 9/2003, de 3 de abril.  Se incluye, además, la aportación a recibir en concepto de repercusión por el Gobierno de Canarias de la reducción en un 50% de la compensación al Estado por la supresión del IGTE, y que se distribuye a los Ayuntamientos con los criterios de reparto  del Bloque de Financiación Canario, así como la aportación específica antes mencionada para compensar por la incidencia recaudatoria que originará las modificaciones normativas que se aprueben en los tributos del REF.  Así, el crédito que se consigna en el Presupuesto de Gastos para atender los pagos a los Ayuntamientos asciende a 162,9 M €. </w:t>
      </w:r>
    </w:p>
    <w:p w:rsidR="00644907" w:rsidRDefault="00644907" w:rsidP="00C11B5E">
      <w:pPr>
        <w:pStyle w:val="Textoindependiente2"/>
        <w:pBdr>
          <w:bottom w:val="none" w:sz="0" w:space="0" w:color="auto"/>
        </w:pBdr>
        <w:ind w:left="406"/>
        <w:jc w:val="both"/>
        <w:rPr>
          <w:rFonts w:ascii="Arial" w:hAnsi="Arial" w:cs="Arial"/>
          <w:sz w:val="20"/>
          <w:szCs w:val="20"/>
        </w:rPr>
      </w:pPr>
    </w:p>
    <w:p w:rsidR="00644907" w:rsidRPr="00443D97" w:rsidRDefault="00644907" w:rsidP="00C11B5E">
      <w:pPr>
        <w:pStyle w:val="Textoindependiente2"/>
        <w:pBdr>
          <w:bottom w:val="none" w:sz="0" w:space="0" w:color="auto"/>
        </w:pBdr>
        <w:ind w:left="406"/>
        <w:jc w:val="both"/>
        <w:rPr>
          <w:rFonts w:ascii="Arial" w:hAnsi="Arial" w:cs="Arial"/>
          <w:sz w:val="20"/>
          <w:szCs w:val="20"/>
        </w:rPr>
      </w:pPr>
    </w:p>
    <w:p w:rsidR="00644907" w:rsidRPr="008A755C" w:rsidRDefault="00585A1C" w:rsidP="00946DB5">
      <w:pPr>
        <w:pStyle w:val="Textoindependiente2"/>
        <w:pBdr>
          <w:bottom w:val="none" w:sz="0" w:space="0" w:color="auto"/>
        </w:pBdr>
        <w:ind w:left="426"/>
        <w:jc w:val="center"/>
        <w:rPr>
          <w:rFonts w:ascii="Arial" w:hAnsi="Arial" w:cs="Arial"/>
          <w:color w:val="FF0000"/>
          <w:sz w:val="20"/>
          <w:szCs w:val="20"/>
        </w:rPr>
      </w:pPr>
      <w:r w:rsidRPr="00585A1C">
        <w:rPr>
          <w:noProof/>
        </w:rPr>
        <w:drawing>
          <wp:inline distT="0" distB="0" distL="0" distR="0" wp14:anchorId="01FD054B" wp14:editId="62C0BEF3">
            <wp:extent cx="5241954" cy="444398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3595" cy="4445375"/>
                    </a:xfrm>
                    <a:prstGeom prst="rect">
                      <a:avLst/>
                    </a:prstGeom>
                    <a:noFill/>
                    <a:ln>
                      <a:noFill/>
                    </a:ln>
                  </pic:spPr>
                </pic:pic>
              </a:graphicData>
            </a:graphic>
          </wp:inline>
        </w:drawing>
      </w:r>
    </w:p>
    <w:p w:rsidR="00644907" w:rsidRDefault="00644907" w:rsidP="00D74267">
      <w:pPr>
        <w:pStyle w:val="Textoindependiente2"/>
        <w:pBdr>
          <w:bottom w:val="none" w:sz="0" w:space="0" w:color="auto"/>
        </w:pBdr>
        <w:ind w:left="392"/>
        <w:jc w:val="both"/>
        <w:rPr>
          <w:rFonts w:ascii="Arial" w:hAnsi="Arial" w:cs="Arial"/>
          <w:color w:val="FF0000"/>
          <w:sz w:val="20"/>
          <w:szCs w:val="20"/>
        </w:rPr>
      </w:pPr>
    </w:p>
    <w:p w:rsidR="00644907" w:rsidRDefault="00644907" w:rsidP="00D74267">
      <w:pPr>
        <w:pStyle w:val="Textoindependiente2"/>
        <w:pBdr>
          <w:bottom w:val="none" w:sz="0" w:space="0" w:color="auto"/>
        </w:pBdr>
        <w:ind w:left="392"/>
        <w:jc w:val="both"/>
        <w:rPr>
          <w:rFonts w:ascii="Arial" w:hAnsi="Arial" w:cs="Arial"/>
          <w:color w:val="FF0000"/>
          <w:sz w:val="20"/>
          <w:szCs w:val="20"/>
        </w:rPr>
      </w:pPr>
    </w:p>
    <w:p w:rsidR="00644907" w:rsidRDefault="00644907" w:rsidP="00C11B5E">
      <w:pPr>
        <w:pStyle w:val="Textoindependiente2"/>
        <w:pBdr>
          <w:bottom w:val="none" w:sz="0" w:space="0" w:color="auto"/>
        </w:pBdr>
        <w:ind w:left="420"/>
        <w:jc w:val="both"/>
        <w:rPr>
          <w:rFonts w:ascii="Arial" w:hAnsi="Arial" w:cs="Arial"/>
          <w:sz w:val="20"/>
          <w:szCs w:val="20"/>
        </w:rPr>
      </w:pPr>
      <w:r w:rsidRPr="00443D97">
        <w:rPr>
          <w:rFonts w:ascii="Arial" w:hAnsi="Arial" w:cs="Arial"/>
          <w:sz w:val="20"/>
          <w:szCs w:val="20"/>
        </w:rPr>
        <w:t>Los ingresos que se han previsto provenientes del REF-Bloque de Financiación Canario, de libre disposición para el Cabido de Tenerife, una vez deducida la parte correspondiente a los Ayuntamientos, pueden desglosarse como sigue:</w:t>
      </w:r>
    </w:p>
    <w:p w:rsidR="00644907" w:rsidRPr="00443D97" w:rsidRDefault="00644907" w:rsidP="00C11B5E">
      <w:pPr>
        <w:pStyle w:val="Textoindependiente2"/>
        <w:pBdr>
          <w:bottom w:val="none" w:sz="0" w:space="0" w:color="auto"/>
        </w:pBdr>
        <w:ind w:left="420"/>
        <w:jc w:val="both"/>
        <w:rPr>
          <w:rFonts w:ascii="Arial" w:hAnsi="Arial" w:cs="Arial"/>
          <w:sz w:val="20"/>
          <w:szCs w:val="20"/>
        </w:rPr>
      </w:pPr>
    </w:p>
    <w:p w:rsidR="00644907" w:rsidRDefault="00585A1C" w:rsidP="00C11B5E">
      <w:pPr>
        <w:pStyle w:val="Textoindependiente2"/>
        <w:pBdr>
          <w:bottom w:val="none" w:sz="0" w:space="0" w:color="auto"/>
        </w:pBdr>
        <w:ind w:left="420"/>
        <w:jc w:val="both"/>
        <w:rPr>
          <w:rFonts w:ascii="Arial" w:hAnsi="Arial" w:cs="Arial"/>
          <w:sz w:val="20"/>
          <w:szCs w:val="20"/>
        </w:rPr>
      </w:pPr>
      <w:r w:rsidRPr="00585A1C">
        <w:rPr>
          <w:noProof/>
        </w:rPr>
        <w:lastRenderedPageBreak/>
        <w:drawing>
          <wp:inline distT="0" distB="0" distL="0" distR="0" wp14:anchorId="3D0DC946" wp14:editId="54EF5B98">
            <wp:extent cx="5400040" cy="150007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500077"/>
                    </a:xfrm>
                    <a:prstGeom prst="rect">
                      <a:avLst/>
                    </a:prstGeom>
                    <a:noFill/>
                    <a:ln>
                      <a:noFill/>
                    </a:ln>
                  </pic:spPr>
                </pic:pic>
              </a:graphicData>
            </a:graphic>
          </wp:inline>
        </w:drawing>
      </w:r>
    </w:p>
    <w:p w:rsidR="00585A1C" w:rsidRDefault="00585A1C" w:rsidP="00C11B5E">
      <w:pPr>
        <w:pStyle w:val="Textoindependiente2"/>
        <w:pBdr>
          <w:bottom w:val="none" w:sz="0" w:space="0" w:color="auto"/>
        </w:pBdr>
        <w:ind w:left="420"/>
        <w:jc w:val="both"/>
        <w:rPr>
          <w:rFonts w:ascii="Arial" w:hAnsi="Arial" w:cs="Arial"/>
          <w:sz w:val="20"/>
          <w:szCs w:val="20"/>
        </w:rPr>
      </w:pPr>
    </w:p>
    <w:p w:rsidR="00585A1C" w:rsidRPr="00443D97" w:rsidRDefault="00585A1C" w:rsidP="00C11B5E">
      <w:pPr>
        <w:pStyle w:val="Textoindependiente2"/>
        <w:pBdr>
          <w:bottom w:val="none" w:sz="0" w:space="0" w:color="auto"/>
        </w:pBdr>
        <w:ind w:left="420"/>
        <w:jc w:val="both"/>
        <w:rPr>
          <w:rFonts w:ascii="Arial" w:hAnsi="Arial" w:cs="Arial"/>
          <w:sz w:val="20"/>
          <w:szCs w:val="20"/>
        </w:rPr>
      </w:pPr>
    </w:p>
    <w:p w:rsidR="00644907" w:rsidRPr="00443D97" w:rsidRDefault="00644907" w:rsidP="00716E04">
      <w:pPr>
        <w:pStyle w:val="Textocomentario"/>
        <w:spacing w:line="360" w:lineRule="auto"/>
        <w:rPr>
          <w:rFonts w:ascii="Arial" w:hAnsi="Arial" w:cs="Arial"/>
          <w:b/>
          <w:bCs/>
          <w:sz w:val="20"/>
          <w:szCs w:val="20"/>
          <w:u w:val="single"/>
          <w:lang w:val="es-ES"/>
        </w:rPr>
      </w:pPr>
      <w:r w:rsidRPr="00443D97">
        <w:rPr>
          <w:rFonts w:ascii="Arial" w:hAnsi="Arial" w:cs="Arial"/>
          <w:b/>
          <w:bCs/>
          <w:sz w:val="20"/>
          <w:szCs w:val="20"/>
          <w:u w:val="single"/>
          <w:lang w:val="es-ES"/>
        </w:rPr>
        <w:t>III. Tasas y Otros Ingresos.</w:t>
      </w:r>
    </w:p>
    <w:p w:rsidR="00644907" w:rsidRPr="008A755C" w:rsidRDefault="00644907" w:rsidP="00716E04">
      <w:pPr>
        <w:pStyle w:val="Textocomentario"/>
        <w:spacing w:line="360" w:lineRule="auto"/>
        <w:rPr>
          <w:rFonts w:ascii="Arial" w:hAnsi="Arial" w:cs="Arial"/>
          <w:b/>
          <w:bCs/>
          <w:color w:val="FF0000"/>
          <w:sz w:val="20"/>
          <w:szCs w:val="20"/>
          <w:u w:val="single"/>
          <w:lang w:val="es-ES"/>
        </w:rPr>
      </w:pPr>
    </w:p>
    <w:p w:rsidR="00644907" w:rsidRPr="00443D97" w:rsidRDefault="00644907" w:rsidP="00716E04">
      <w:pPr>
        <w:pStyle w:val="Textocomentario"/>
        <w:spacing w:line="360" w:lineRule="auto"/>
        <w:jc w:val="both"/>
        <w:rPr>
          <w:rFonts w:ascii="Arial" w:hAnsi="Arial" w:cs="Arial"/>
          <w:sz w:val="20"/>
          <w:szCs w:val="20"/>
          <w:lang w:val="es-ES"/>
        </w:rPr>
      </w:pPr>
      <w:r w:rsidRPr="00443D97">
        <w:rPr>
          <w:rFonts w:ascii="Arial" w:hAnsi="Arial" w:cs="Arial"/>
          <w:sz w:val="20"/>
          <w:szCs w:val="20"/>
          <w:lang w:val="es-ES"/>
        </w:rPr>
        <w:t xml:space="preserve">Los ingresos previstos en 2019 para este capítulo ascienden a </w:t>
      </w:r>
      <w:r w:rsidRPr="00443D97">
        <w:rPr>
          <w:rFonts w:ascii="Arial" w:hAnsi="Arial" w:cs="Arial"/>
          <w:b/>
          <w:bCs/>
          <w:sz w:val="20"/>
          <w:szCs w:val="20"/>
          <w:lang w:val="es-ES"/>
        </w:rPr>
        <w:t>28,5 M €</w:t>
      </w:r>
      <w:r w:rsidRPr="00443D97">
        <w:rPr>
          <w:rFonts w:ascii="Arial" w:hAnsi="Arial" w:cs="Arial"/>
          <w:sz w:val="20"/>
          <w:szCs w:val="20"/>
          <w:lang w:val="es-ES"/>
        </w:rPr>
        <w:t xml:space="preserve">, cantidad que representa un 3,2% del total del Presupuesto, disminuyendo con respecto al ejercicio 2018  en un 4,4%, ocasionado fundamentalmente por la menor previsión de recaudación de tasas por servicios del P.T.E.O.R.  </w:t>
      </w:r>
    </w:p>
    <w:p w:rsidR="00644907" w:rsidRPr="00443D97" w:rsidRDefault="00644907" w:rsidP="00716E04">
      <w:pPr>
        <w:pStyle w:val="Textocomentario"/>
        <w:spacing w:line="360" w:lineRule="auto"/>
        <w:jc w:val="both"/>
        <w:rPr>
          <w:rFonts w:ascii="Arial" w:hAnsi="Arial" w:cs="Arial"/>
          <w:sz w:val="20"/>
          <w:szCs w:val="20"/>
          <w:lang w:val="es-ES"/>
        </w:rPr>
      </w:pPr>
    </w:p>
    <w:p w:rsidR="00644907" w:rsidRPr="00443D97" w:rsidRDefault="00644907" w:rsidP="00716E04">
      <w:pPr>
        <w:pStyle w:val="Textocomentario"/>
        <w:spacing w:line="360" w:lineRule="auto"/>
        <w:ind w:left="360"/>
        <w:jc w:val="both"/>
        <w:rPr>
          <w:rFonts w:ascii="Arial" w:hAnsi="Arial" w:cs="Arial"/>
          <w:sz w:val="20"/>
          <w:szCs w:val="20"/>
          <w:lang w:val="es-ES"/>
        </w:rPr>
      </w:pPr>
      <w:r w:rsidRPr="00443D97">
        <w:rPr>
          <w:rFonts w:ascii="Arial" w:hAnsi="Arial" w:cs="Arial"/>
          <w:sz w:val="20"/>
          <w:szCs w:val="20"/>
          <w:lang w:val="es-ES"/>
        </w:rPr>
        <w:t>Dentro de este capítulo de ingresos, destacan:</w:t>
      </w:r>
    </w:p>
    <w:p w:rsidR="00644907" w:rsidRPr="008A755C" w:rsidRDefault="00644907" w:rsidP="00716E04">
      <w:pPr>
        <w:pStyle w:val="Textocomentario"/>
        <w:spacing w:line="360" w:lineRule="auto"/>
        <w:ind w:left="360"/>
        <w:jc w:val="both"/>
        <w:rPr>
          <w:rFonts w:ascii="Arial" w:hAnsi="Arial" w:cs="Arial"/>
          <w:color w:val="FF0000"/>
          <w:sz w:val="20"/>
          <w:szCs w:val="20"/>
          <w:lang w:val="es-ES"/>
        </w:rPr>
      </w:pPr>
    </w:p>
    <w:p w:rsidR="00644907" w:rsidRPr="00443D97" w:rsidRDefault="00644907" w:rsidP="00F25CEC">
      <w:pPr>
        <w:pStyle w:val="Textocomentario"/>
        <w:numPr>
          <w:ilvl w:val="0"/>
          <w:numId w:val="4"/>
        </w:numPr>
        <w:tabs>
          <w:tab w:val="clear" w:pos="720"/>
        </w:tabs>
        <w:spacing w:line="360" w:lineRule="auto"/>
        <w:ind w:left="378" w:hanging="336"/>
        <w:jc w:val="both"/>
        <w:rPr>
          <w:rFonts w:ascii="Arial" w:hAnsi="Arial" w:cs="Arial"/>
          <w:sz w:val="20"/>
          <w:szCs w:val="20"/>
          <w:lang w:val="es-ES"/>
        </w:rPr>
      </w:pPr>
      <w:r w:rsidRPr="00443D97">
        <w:rPr>
          <w:rFonts w:ascii="Arial" w:hAnsi="Arial" w:cs="Arial"/>
          <w:sz w:val="20"/>
          <w:szCs w:val="20"/>
          <w:lang w:val="es-ES"/>
        </w:rPr>
        <w:t xml:space="preserve">Tasas por prestación de servicios incluidos en el Plan Territorial Especial de Ordenación de Residuos (PTEOR). Con unos ingresos previstos de 23,0 M €, constituyen el concepto de ingresos más importante en este capítulo, desde el punto de vista cuantitativo.  La estimación se ha realizado en base al número de toneladas de residuos que se prevén para 2019 y en aplicación de las mismas tarifas que han regido para 2018.  La minoración de los ingresos estimados, en 1,3 M €, deriva de la reducción de las toneladas de residuos que se prevén tratar. </w:t>
      </w:r>
    </w:p>
    <w:p w:rsidR="00644907" w:rsidRPr="00443D97" w:rsidRDefault="00644907" w:rsidP="00F25CEC">
      <w:pPr>
        <w:pStyle w:val="Textocomentario"/>
        <w:spacing w:line="360" w:lineRule="auto"/>
        <w:ind w:left="378" w:hanging="336"/>
        <w:jc w:val="both"/>
        <w:rPr>
          <w:rFonts w:ascii="Arial" w:hAnsi="Arial" w:cs="Arial"/>
          <w:sz w:val="20"/>
          <w:szCs w:val="20"/>
          <w:lang w:val="es-ES"/>
        </w:rPr>
      </w:pPr>
    </w:p>
    <w:p w:rsidR="00644907" w:rsidRPr="00443D97" w:rsidRDefault="00644907" w:rsidP="00F25CEC">
      <w:pPr>
        <w:pStyle w:val="Textocomentario"/>
        <w:numPr>
          <w:ilvl w:val="0"/>
          <w:numId w:val="4"/>
        </w:numPr>
        <w:tabs>
          <w:tab w:val="clear" w:pos="720"/>
        </w:tabs>
        <w:spacing w:line="360" w:lineRule="auto"/>
        <w:ind w:left="378" w:hanging="336"/>
        <w:jc w:val="both"/>
        <w:rPr>
          <w:rFonts w:ascii="Arial" w:hAnsi="Arial" w:cs="Arial"/>
          <w:sz w:val="20"/>
          <w:szCs w:val="20"/>
          <w:lang w:val="es-ES"/>
        </w:rPr>
      </w:pPr>
      <w:r w:rsidRPr="00443D97">
        <w:rPr>
          <w:rFonts w:ascii="Arial" w:hAnsi="Arial" w:cs="Arial"/>
          <w:sz w:val="20"/>
          <w:szCs w:val="20"/>
          <w:lang w:val="es-ES"/>
        </w:rPr>
        <w:t>Ingresos derivados de los procedimientos de reciclado de residuos contemplados en el PTEOR (</w:t>
      </w:r>
      <w:proofErr w:type="spellStart"/>
      <w:r w:rsidRPr="00443D97">
        <w:rPr>
          <w:rFonts w:ascii="Arial" w:hAnsi="Arial" w:cs="Arial"/>
          <w:sz w:val="20"/>
          <w:szCs w:val="20"/>
          <w:lang w:val="es-ES"/>
        </w:rPr>
        <w:t>Ecoembes</w:t>
      </w:r>
      <w:proofErr w:type="spellEnd"/>
      <w:r w:rsidRPr="00443D97">
        <w:rPr>
          <w:rFonts w:ascii="Arial" w:hAnsi="Arial" w:cs="Arial"/>
          <w:sz w:val="20"/>
          <w:szCs w:val="20"/>
          <w:lang w:val="es-ES"/>
        </w:rPr>
        <w:t>), que totalizan para el 2019 un importe de 2,9 M €, ajustadas las previsiones a la vista de la evolución de la recaudación y de lo informado al respecto por el Servicio Administrativo de Gestión Económica de Medio Ambiente.</w:t>
      </w:r>
    </w:p>
    <w:p w:rsidR="00644907" w:rsidRPr="00443D97" w:rsidRDefault="00644907" w:rsidP="00F25CEC">
      <w:pPr>
        <w:pStyle w:val="Textocomentario"/>
        <w:spacing w:line="360" w:lineRule="auto"/>
        <w:ind w:left="378" w:hanging="336"/>
        <w:jc w:val="both"/>
        <w:rPr>
          <w:rFonts w:ascii="Arial" w:hAnsi="Arial" w:cs="Arial"/>
          <w:sz w:val="20"/>
          <w:szCs w:val="20"/>
          <w:lang w:val="es-ES"/>
        </w:rPr>
      </w:pPr>
    </w:p>
    <w:p w:rsidR="00644907" w:rsidRPr="00443D97" w:rsidRDefault="00644907" w:rsidP="00F25CEC">
      <w:pPr>
        <w:pStyle w:val="Textocomentario"/>
        <w:numPr>
          <w:ilvl w:val="0"/>
          <w:numId w:val="4"/>
        </w:numPr>
        <w:tabs>
          <w:tab w:val="clear" w:pos="720"/>
        </w:tabs>
        <w:spacing w:line="360" w:lineRule="auto"/>
        <w:ind w:left="378" w:hanging="336"/>
        <w:jc w:val="both"/>
        <w:rPr>
          <w:rFonts w:ascii="Arial" w:hAnsi="Arial" w:cs="Arial"/>
          <w:sz w:val="20"/>
          <w:szCs w:val="20"/>
          <w:lang w:val="es-ES"/>
        </w:rPr>
      </w:pPr>
      <w:r w:rsidRPr="00443D97">
        <w:rPr>
          <w:rFonts w:ascii="Arial" w:hAnsi="Arial" w:cs="Arial"/>
          <w:sz w:val="20"/>
          <w:szCs w:val="20"/>
          <w:lang w:val="es-ES"/>
        </w:rPr>
        <w:t>Los recargos, intereses y sanciones derivados de la gestión de los recursos del REF, que la Comunidad Autónoma repartirá al efectuar la liquidación de tales recursos correspondientes a 2018, y que se cuantifican en 0,9 M €.</w:t>
      </w:r>
    </w:p>
    <w:p w:rsidR="00644907" w:rsidRPr="008A755C" w:rsidRDefault="00644907" w:rsidP="002B70FC">
      <w:pPr>
        <w:pStyle w:val="Textocomentario"/>
        <w:spacing w:line="360" w:lineRule="auto"/>
        <w:jc w:val="both"/>
        <w:rPr>
          <w:rFonts w:ascii="Arial" w:hAnsi="Arial" w:cs="Arial"/>
          <w:color w:val="FF0000"/>
          <w:sz w:val="20"/>
          <w:szCs w:val="20"/>
          <w:lang w:val="es-ES"/>
        </w:rPr>
      </w:pPr>
    </w:p>
    <w:p w:rsidR="00644907" w:rsidRPr="00443D97" w:rsidRDefault="00644907" w:rsidP="002B70FC">
      <w:pPr>
        <w:pStyle w:val="Textocomentario"/>
        <w:spacing w:line="360" w:lineRule="auto"/>
        <w:jc w:val="both"/>
        <w:rPr>
          <w:rFonts w:ascii="Arial" w:hAnsi="Arial" w:cs="Arial"/>
          <w:sz w:val="20"/>
          <w:szCs w:val="20"/>
          <w:lang w:val="es-ES"/>
        </w:rPr>
      </w:pPr>
      <w:r w:rsidRPr="00443D97">
        <w:rPr>
          <w:rFonts w:ascii="Arial" w:hAnsi="Arial" w:cs="Arial"/>
          <w:sz w:val="20"/>
          <w:szCs w:val="20"/>
          <w:lang w:val="es-ES"/>
        </w:rPr>
        <w:t>Cabe mencionar lo siguiente:</w:t>
      </w:r>
    </w:p>
    <w:p w:rsidR="00644907" w:rsidRPr="008A755C" w:rsidRDefault="00644907" w:rsidP="002B70FC">
      <w:pPr>
        <w:pStyle w:val="Textocomentario"/>
        <w:spacing w:line="360" w:lineRule="auto"/>
        <w:jc w:val="both"/>
        <w:rPr>
          <w:rFonts w:ascii="Arial" w:hAnsi="Arial" w:cs="Arial"/>
          <w:color w:val="FF0000"/>
          <w:sz w:val="20"/>
          <w:szCs w:val="20"/>
          <w:lang w:val="es-ES"/>
        </w:rPr>
      </w:pPr>
    </w:p>
    <w:p w:rsidR="00644907" w:rsidRPr="00443D97" w:rsidRDefault="00644907" w:rsidP="00F25CEC">
      <w:pPr>
        <w:pStyle w:val="Textocomentario"/>
        <w:numPr>
          <w:ilvl w:val="0"/>
          <w:numId w:val="4"/>
        </w:numPr>
        <w:tabs>
          <w:tab w:val="clear" w:pos="720"/>
          <w:tab w:val="num" w:pos="392"/>
        </w:tabs>
        <w:spacing w:line="360" w:lineRule="auto"/>
        <w:ind w:left="350"/>
        <w:jc w:val="both"/>
        <w:rPr>
          <w:rFonts w:ascii="Arial" w:hAnsi="Arial" w:cs="Arial"/>
          <w:sz w:val="20"/>
          <w:szCs w:val="20"/>
        </w:rPr>
      </w:pPr>
      <w:r w:rsidRPr="00443D97">
        <w:rPr>
          <w:rFonts w:ascii="Arial" w:hAnsi="Arial" w:cs="Arial"/>
          <w:sz w:val="20"/>
          <w:szCs w:val="20"/>
          <w:lang w:val="es-ES"/>
        </w:rPr>
        <w:t xml:space="preserve">El día 8 de agosto de 2018 se produjo la publicación en el BOP y entrada en vigor de la modificación de la Ordenanza Fiscal en la que se establece la tasa por el uso principal del Estadio Heliodoro Rodríguez López. La estimación de ingresos a obtener en 2019 se ha </w:t>
      </w:r>
      <w:r w:rsidRPr="00443D97">
        <w:rPr>
          <w:rFonts w:ascii="Arial" w:hAnsi="Arial" w:cs="Arial"/>
          <w:sz w:val="20"/>
          <w:szCs w:val="20"/>
          <w:lang w:val="es-ES"/>
        </w:rPr>
        <w:lastRenderedPageBreak/>
        <w:t xml:space="preserve">cifrado en 0,1 M €, calculada en base a los datos declarados por el Club Deportivo Tenerife, SAD correspondientes a la última temporada deportiva. </w:t>
      </w:r>
    </w:p>
    <w:p w:rsidR="00644907" w:rsidRPr="00443D97" w:rsidRDefault="00644907" w:rsidP="00A4479B">
      <w:pPr>
        <w:pStyle w:val="Textocomentario"/>
        <w:spacing w:line="360" w:lineRule="auto"/>
        <w:ind w:left="350"/>
        <w:jc w:val="both"/>
        <w:rPr>
          <w:rFonts w:ascii="Arial" w:hAnsi="Arial" w:cs="Arial"/>
          <w:sz w:val="20"/>
          <w:szCs w:val="20"/>
        </w:rPr>
      </w:pPr>
    </w:p>
    <w:p w:rsidR="00644907" w:rsidRPr="00443D97" w:rsidRDefault="00644907" w:rsidP="00A4479B">
      <w:pPr>
        <w:pStyle w:val="Textocomentario"/>
        <w:numPr>
          <w:ilvl w:val="0"/>
          <w:numId w:val="4"/>
        </w:numPr>
        <w:tabs>
          <w:tab w:val="clear" w:pos="720"/>
          <w:tab w:val="num" w:pos="378"/>
        </w:tabs>
        <w:spacing w:line="360" w:lineRule="auto"/>
        <w:ind w:left="308" w:hanging="276"/>
        <w:jc w:val="both"/>
        <w:rPr>
          <w:rFonts w:ascii="Arial" w:hAnsi="Arial" w:cs="Arial"/>
          <w:sz w:val="20"/>
          <w:szCs w:val="20"/>
        </w:rPr>
      </w:pPr>
      <w:r w:rsidRPr="00443D97">
        <w:rPr>
          <w:rFonts w:ascii="Arial" w:hAnsi="Arial" w:cs="Arial"/>
          <w:sz w:val="20"/>
          <w:szCs w:val="20"/>
          <w:lang w:val="es-ES"/>
        </w:rPr>
        <w:t xml:space="preserve">No se prevén ingresos derivados de gestión de residuos de vidrio y de aparatos eléctricos y electrónicos, pues se han interrumpido a la espera de regularizar las relaciones jurídicas  con los gestores de residuos. </w:t>
      </w:r>
    </w:p>
    <w:p w:rsidR="00644907" w:rsidRPr="00443D97" w:rsidRDefault="00644907" w:rsidP="00164D39">
      <w:pPr>
        <w:pStyle w:val="Prrafodelista"/>
        <w:rPr>
          <w:rFonts w:ascii="Arial" w:hAnsi="Arial" w:cs="Arial"/>
          <w:sz w:val="20"/>
          <w:szCs w:val="20"/>
        </w:rPr>
      </w:pPr>
    </w:p>
    <w:p w:rsidR="00644907" w:rsidRDefault="00644907" w:rsidP="00F25CEC">
      <w:pPr>
        <w:pStyle w:val="Textocomentario"/>
        <w:numPr>
          <w:ilvl w:val="0"/>
          <w:numId w:val="4"/>
        </w:numPr>
        <w:tabs>
          <w:tab w:val="clear" w:pos="720"/>
          <w:tab w:val="num" w:pos="392"/>
        </w:tabs>
        <w:spacing w:line="360" w:lineRule="auto"/>
        <w:ind w:left="350"/>
        <w:jc w:val="both"/>
        <w:rPr>
          <w:rFonts w:ascii="Arial" w:hAnsi="Arial" w:cs="Arial"/>
          <w:sz w:val="20"/>
          <w:szCs w:val="20"/>
          <w:lang w:val="es-ES"/>
        </w:rPr>
      </w:pPr>
      <w:r w:rsidRPr="00443D97">
        <w:rPr>
          <w:rFonts w:ascii="Arial" w:hAnsi="Arial" w:cs="Arial"/>
          <w:sz w:val="20"/>
          <w:szCs w:val="20"/>
          <w:lang w:val="es-ES"/>
        </w:rPr>
        <w:t xml:space="preserve">Las previsiones por el resto de conceptos de ingresos del capítulo se han ajustado a la vista de la recaudación y de los últimos datos disponibles sobre el volumen de servicios prestados.  </w:t>
      </w:r>
    </w:p>
    <w:p w:rsidR="00C459A0" w:rsidRDefault="00C459A0" w:rsidP="00C459A0">
      <w:pPr>
        <w:pStyle w:val="Prrafodelista"/>
        <w:rPr>
          <w:rFonts w:ascii="Arial" w:hAnsi="Arial" w:cs="Arial"/>
          <w:sz w:val="20"/>
          <w:szCs w:val="20"/>
        </w:rPr>
      </w:pPr>
    </w:p>
    <w:p w:rsidR="00C459A0" w:rsidRPr="00443D97" w:rsidRDefault="00C459A0" w:rsidP="00C459A0">
      <w:pPr>
        <w:pStyle w:val="Textocomentario"/>
        <w:spacing w:line="360" w:lineRule="auto"/>
        <w:ind w:left="350"/>
        <w:jc w:val="both"/>
        <w:rPr>
          <w:rFonts w:ascii="Arial" w:hAnsi="Arial" w:cs="Arial"/>
          <w:sz w:val="20"/>
          <w:szCs w:val="20"/>
          <w:lang w:val="es-ES"/>
        </w:rPr>
      </w:pPr>
    </w:p>
    <w:p w:rsidR="00644907" w:rsidRPr="008A755C" w:rsidRDefault="00644907" w:rsidP="00716E04">
      <w:pPr>
        <w:pStyle w:val="Ttulo5"/>
        <w:rPr>
          <w:rFonts w:ascii="Arial" w:hAnsi="Arial" w:cs="Arial"/>
          <w:sz w:val="20"/>
          <w:szCs w:val="20"/>
          <w:u w:val="single"/>
        </w:rPr>
      </w:pPr>
      <w:r w:rsidRPr="008A755C">
        <w:rPr>
          <w:rFonts w:ascii="Arial" w:hAnsi="Arial" w:cs="Arial"/>
          <w:sz w:val="20"/>
          <w:szCs w:val="20"/>
          <w:u w:val="single"/>
        </w:rPr>
        <w:t>IV. Transferencias Corrientes.</w:t>
      </w:r>
    </w:p>
    <w:p w:rsidR="00644907" w:rsidRPr="008A755C" w:rsidRDefault="00644907" w:rsidP="00FB49C5">
      <w:pPr>
        <w:rPr>
          <w:rFonts w:ascii="Arial" w:hAnsi="Arial" w:cs="Arial"/>
          <w:sz w:val="20"/>
          <w:szCs w:val="20"/>
        </w:rPr>
      </w:pPr>
    </w:p>
    <w:p w:rsidR="00644907" w:rsidRPr="008A755C" w:rsidRDefault="00644907" w:rsidP="00716E04">
      <w:pPr>
        <w:pStyle w:val="Sangra3detindependiente"/>
        <w:ind w:firstLine="0"/>
        <w:rPr>
          <w:rFonts w:ascii="Arial" w:hAnsi="Arial" w:cs="Arial"/>
          <w:sz w:val="20"/>
          <w:szCs w:val="20"/>
        </w:rPr>
      </w:pPr>
      <w:r w:rsidRPr="008A755C">
        <w:rPr>
          <w:rFonts w:ascii="Arial" w:hAnsi="Arial" w:cs="Arial"/>
          <w:sz w:val="20"/>
          <w:szCs w:val="20"/>
        </w:rPr>
        <w:t xml:space="preserve">La estimación establecida para los ingresos por transferencias corrientes en el 2019 totaliza </w:t>
      </w:r>
      <w:r w:rsidRPr="008A755C">
        <w:rPr>
          <w:rFonts w:ascii="Arial" w:hAnsi="Arial" w:cs="Arial"/>
          <w:b/>
          <w:bCs/>
          <w:sz w:val="20"/>
          <w:szCs w:val="20"/>
        </w:rPr>
        <w:t>336,</w:t>
      </w:r>
      <w:r w:rsidR="00C459A0">
        <w:rPr>
          <w:rFonts w:ascii="Arial" w:hAnsi="Arial" w:cs="Arial"/>
          <w:b/>
          <w:bCs/>
          <w:sz w:val="20"/>
          <w:szCs w:val="20"/>
        </w:rPr>
        <w:t>8</w:t>
      </w:r>
      <w:r w:rsidRPr="008A755C">
        <w:rPr>
          <w:rFonts w:ascii="Arial" w:hAnsi="Arial" w:cs="Arial"/>
          <w:b/>
          <w:bCs/>
          <w:sz w:val="20"/>
          <w:szCs w:val="20"/>
        </w:rPr>
        <w:t xml:space="preserve"> M €</w:t>
      </w:r>
      <w:r w:rsidRPr="008A755C">
        <w:rPr>
          <w:rFonts w:ascii="Arial" w:hAnsi="Arial" w:cs="Arial"/>
          <w:sz w:val="20"/>
          <w:szCs w:val="20"/>
        </w:rPr>
        <w:t xml:space="preserve">, y presenta un incremento del 21,4% en relación con la estimación de 2018. Este Capítulo es el segundo en importancia, con un peso del 38,1% sobre el total del Presupuesto de Ingresos. </w:t>
      </w:r>
    </w:p>
    <w:p w:rsidR="00644907" w:rsidRPr="008A755C" w:rsidRDefault="00644907" w:rsidP="00716E04">
      <w:pPr>
        <w:pStyle w:val="Sangra3detindependiente"/>
        <w:ind w:firstLine="0"/>
        <w:rPr>
          <w:rFonts w:ascii="Arial" w:hAnsi="Arial" w:cs="Arial"/>
          <w:color w:val="FF0000"/>
          <w:sz w:val="20"/>
          <w:szCs w:val="20"/>
        </w:rPr>
      </w:pPr>
    </w:p>
    <w:p w:rsidR="00C459A0" w:rsidRDefault="00C459A0" w:rsidP="00716E04">
      <w:pPr>
        <w:pStyle w:val="Sangra3detindependiente"/>
        <w:ind w:firstLine="0"/>
      </w:pPr>
      <w:r w:rsidRPr="00C459A0">
        <w:drawing>
          <wp:inline distT="0" distB="0" distL="0" distR="0" wp14:anchorId="002DCE85" wp14:editId="78587970">
            <wp:extent cx="5400040" cy="244618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446188"/>
                    </a:xfrm>
                    <a:prstGeom prst="rect">
                      <a:avLst/>
                    </a:prstGeom>
                    <a:noFill/>
                    <a:ln>
                      <a:noFill/>
                    </a:ln>
                  </pic:spPr>
                </pic:pic>
              </a:graphicData>
            </a:graphic>
          </wp:inline>
        </w:drawing>
      </w:r>
    </w:p>
    <w:p w:rsidR="00644907" w:rsidRPr="008A755C" w:rsidRDefault="00644907" w:rsidP="00716E04">
      <w:pPr>
        <w:pStyle w:val="Sangra3detindependiente"/>
        <w:ind w:firstLine="0"/>
        <w:rPr>
          <w:rFonts w:ascii="Arial" w:hAnsi="Arial" w:cs="Arial"/>
          <w:color w:val="FF0000"/>
          <w:sz w:val="20"/>
          <w:szCs w:val="20"/>
        </w:rPr>
      </w:pPr>
      <w:r w:rsidRPr="008A755C">
        <w:t xml:space="preserve"> </w:t>
      </w:r>
      <w:r w:rsidRPr="008A755C">
        <w:rPr>
          <w:color w:val="FF0000"/>
        </w:rPr>
        <w:t xml:space="preserve"> </w:t>
      </w:r>
    </w:p>
    <w:p w:rsidR="00644907" w:rsidRPr="007D45CE" w:rsidRDefault="00644907" w:rsidP="00716E04">
      <w:pPr>
        <w:pStyle w:val="Sangra3detindependiente"/>
        <w:ind w:firstLine="0"/>
        <w:rPr>
          <w:rFonts w:ascii="Arial" w:hAnsi="Arial" w:cs="Arial"/>
          <w:sz w:val="20"/>
          <w:szCs w:val="20"/>
        </w:rPr>
      </w:pPr>
      <w:r w:rsidRPr="007D45CE">
        <w:rPr>
          <w:rFonts w:ascii="Arial" w:hAnsi="Arial" w:cs="Arial"/>
          <w:sz w:val="20"/>
          <w:szCs w:val="20"/>
        </w:rPr>
        <w:t>El capítulo de transferencias corrientes, atendiendo a la Administración Pública responsable del libramiento de los fondos, se subdivide como sigue:</w:t>
      </w:r>
    </w:p>
    <w:p w:rsidR="00644907" w:rsidRPr="008A755C" w:rsidRDefault="00644907" w:rsidP="00716E04">
      <w:pPr>
        <w:pStyle w:val="Sangra3detindependiente"/>
        <w:ind w:firstLine="0"/>
        <w:rPr>
          <w:rFonts w:ascii="Arial" w:hAnsi="Arial" w:cs="Arial"/>
          <w:color w:val="FF0000"/>
          <w:sz w:val="20"/>
          <w:szCs w:val="20"/>
        </w:rPr>
      </w:pPr>
    </w:p>
    <w:p w:rsidR="00644907" w:rsidRPr="007D45CE" w:rsidRDefault="00644907" w:rsidP="000B7101">
      <w:pPr>
        <w:pStyle w:val="Textoindependiente2"/>
        <w:numPr>
          <w:ilvl w:val="0"/>
          <w:numId w:val="10"/>
        </w:numPr>
        <w:pBdr>
          <w:bottom w:val="none" w:sz="0" w:space="0" w:color="auto"/>
        </w:pBdr>
        <w:tabs>
          <w:tab w:val="clear" w:pos="792"/>
          <w:tab w:val="num" w:pos="-72"/>
        </w:tabs>
        <w:ind w:left="360"/>
        <w:jc w:val="both"/>
        <w:rPr>
          <w:rFonts w:ascii="Arial" w:hAnsi="Arial" w:cs="Arial"/>
          <w:sz w:val="20"/>
          <w:szCs w:val="20"/>
        </w:rPr>
      </w:pPr>
      <w:r w:rsidRPr="007D45CE">
        <w:rPr>
          <w:rFonts w:ascii="Arial" w:hAnsi="Arial" w:cs="Arial"/>
          <w:sz w:val="20"/>
          <w:szCs w:val="20"/>
        </w:rPr>
        <w:t xml:space="preserve">En primer lugar, los ingresos derivados de la </w:t>
      </w:r>
      <w:r w:rsidRPr="007D45CE">
        <w:rPr>
          <w:rFonts w:ascii="Arial" w:hAnsi="Arial" w:cs="Arial"/>
          <w:b/>
          <w:bCs/>
          <w:sz w:val="20"/>
          <w:szCs w:val="20"/>
        </w:rPr>
        <w:t>Participación en los Tributos del Estado</w:t>
      </w:r>
      <w:r w:rsidRPr="007D45CE">
        <w:rPr>
          <w:rFonts w:ascii="Arial" w:hAnsi="Arial" w:cs="Arial"/>
          <w:sz w:val="20"/>
          <w:szCs w:val="20"/>
        </w:rPr>
        <w:t xml:space="preserve"> – Fondo Complementario de Financiación y Fondo de Asistencia Sanitaria -, con un peso del  30,6%, dentro del Capítulo, ascendiendo a </w:t>
      </w:r>
      <w:r w:rsidRPr="007D45CE">
        <w:rPr>
          <w:rFonts w:ascii="Arial" w:hAnsi="Arial" w:cs="Arial"/>
          <w:b/>
          <w:bCs/>
          <w:sz w:val="20"/>
          <w:szCs w:val="20"/>
        </w:rPr>
        <w:t>102,9 M €.</w:t>
      </w:r>
      <w:r w:rsidRPr="007D45CE">
        <w:rPr>
          <w:rFonts w:ascii="Arial" w:hAnsi="Arial" w:cs="Arial"/>
          <w:sz w:val="20"/>
          <w:szCs w:val="20"/>
        </w:rPr>
        <w:t xml:space="preserve"> </w:t>
      </w:r>
    </w:p>
    <w:p w:rsidR="00644907" w:rsidRPr="008A755C" w:rsidRDefault="00644907" w:rsidP="003808AC">
      <w:pPr>
        <w:pStyle w:val="Textoindependiente2"/>
        <w:pBdr>
          <w:bottom w:val="none" w:sz="0" w:space="0" w:color="auto"/>
        </w:pBdr>
        <w:ind w:left="360"/>
        <w:jc w:val="both"/>
        <w:rPr>
          <w:rFonts w:ascii="Arial" w:hAnsi="Arial" w:cs="Arial"/>
          <w:color w:val="FF0000"/>
          <w:sz w:val="20"/>
          <w:szCs w:val="20"/>
        </w:rPr>
      </w:pPr>
    </w:p>
    <w:p w:rsidR="00644907" w:rsidRPr="007D45CE" w:rsidRDefault="00644907" w:rsidP="000B7101">
      <w:pPr>
        <w:spacing w:line="360" w:lineRule="auto"/>
        <w:ind w:left="360"/>
        <w:jc w:val="both"/>
        <w:rPr>
          <w:rFonts w:ascii="Arial" w:hAnsi="Arial" w:cs="Arial"/>
          <w:sz w:val="20"/>
          <w:szCs w:val="20"/>
        </w:rPr>
      </w:pPr>
      <w:r w:rsidRPr="007D45CE">
        <w:rPr>
          <w:rFonts w:ascii="Arial" w:hAnsi="Arial" w:cs="Arial"/>
          <w:sz w:val="20"/>
          <w:szCs w:val="20"/>
        </w:rPr>
        <w:t>En conjunto, la participación en tributos del Estado (transferencias Capítulo 4 y cesión de impuestos consignados en los Capítulos 1 y 2 del Presupuesto),</w:t>
      </w:r>
      <w:r w:rsidRPr="007D45CE">
        <w:rPr>
          <w:rFonts w:ascii="Arial" w:hAnsi="Arial" w:cs="Arial"/>
          <w:b/>
          <w:bCs/>
          <w:sz w:val="20"/>
          <w:szCs w:val="20"/>
        </w:rPr>
        <w:t xml:space="preserve"> r</w:t>
      </w:r>
      <w:r w:rsidRPr="007D45CE">
        <w:rPr>
          <w:rFonts w:ascii="Arial" w:hAnsi="Arial" w:cs="Arial"/>
          <w:sz w:val="20"/>
          <w:szCs w:val="20"/>
        </w:rPr>
        <w:t xml:space="preserve">epresenta el </w:t>
      </w:r>
      <w:r w:rsidRPr="007D45CE">
        <w:rPr>
          <w:rFonts w:ascii="Arial" w:hAnsi="Arial" w:cs="Arial"/>
          <w:b/>
          <w:bCs/>
          <w:sz w:val="20"/>
          <w:szCs w:val="20"/>
        </w:rPr>
        <w:t>12,8%</w:t>
      </w:r>
      <w:r w:rsidRPr="007D45CE">
        <w:rPr>
          <w:rFonts w:ascii="Arial" w:hAnsi="Arial" w:cs="Arial"/>
          <w:sz w:val="20"/>
          <w:szCs w:val="20"/>
        </w:rPr>
        <w:t xml:space="preserve"> de los </w:t>
      </w:r>
      <w:r w:rsidRPr="007D45CE">
        <w:rPr>
          <w:rFonts w:ascii="Arial" w:hAnsi="Arial" w:cs="Arial"/>
          <w:sz w:val="20"/>
          <w:szCs w:val="20"/>
        </w:rPr>
        <w:lastRenderedPageBreak/>
        <w:t>ingresos no financieros del Cabildo, constituyendo una de las principales fuentes de financiación tras los recursos derivados del REF.</w:t>
      </w:r>
    </w:p>
    <w:p w:rsidR="00644907" w:rsidRPr="008A755C" w:rsidRDefault="00644907" w:rsidP="000B7101">
      <w:pPr>
        <w:spacing w:line="360" w:lineRule="auto"/>
        <w:ind w:left="360"/>
        <w:jc w:val="both"/>
        <w:rPr>
          <w:rFonts w:ascii="Arial" w:hAnsi="Arial" w:cs="Arial"/>
          <w:color w:val="FF0000"/>
          <w:sz w:val="20"/>
          <w:szCs w:val="20"/>
        </w:rPr>
      </w:pPr>
    </w:p>
    <w:p w:rsidR="00644907" w:rsidRPr="007D45CE" w:rsidRDefault="00644907" w:rsidP="000B7101">
      <w:pPr>
        <w:pStyle w:val="Textoindependiente2"/>
        <w:pBdr>
          <w:bottom w:val="none" w:sz="0" w:space="0" w:color="auto"/>
        </w:pBdr>
        <w:ind w:left="360"/>
        <w:jc w:val="both"/>
        <w:rPr>
          <w:rFonts w:ascii="Arial" w:hAnsi="Arial" w:cs="Arial"/>
          <w:sz w:val="20"/>
          <w:szCs w:val="20"/>
        </w:rPr>
      </w:pPr>
      <w:r w:rsidRPr="007D45CE">
        <w:rPr>
          <w:rFonts w:ascii="Arial" w:hAnsi="Arial" w:cs="Arial"/>
          <w:sz w:val="20"/>
          <w:szCs w:val="20"/>
        </w:rPr>
        <w:t>Su cuantificación incluye el importe de las entregas a cuenta a percibir en el ejercicio, cuya previsión se ha ajustado a las entregas fijadas para el año 2018, previéndose la prórroga de los Presupuestos Generales del Estado de 2018, al no haberse presentado aún un Proyecto de los mismos para 2019. También se incluye la estimación, en base al informe anual estadístico publicado por la Agencia Tributaria Estatal, de la liquidación correspondiente a 2017 que se practicará en 2019, y que se espera sea negativa en unos 3,4 M €, como consecuencia del diferimiento de ingresos al ejercicio siguiente provocado por la puesta en marcha del “Sistema de Información Inmediata” (SII) en la gestión del IVA.</w:t>
      </w:r>
    </w:p>
    <w:p w:rsidR="00644907" w:rsidRPr="008A755C" w:rsidRDefault="00644907" w:rsidP="000B7101">
      <w:pPr>
        <w:pStyle w:val="Textoindependiente2"/>
        <w:pBdr>
          <w:bottom w:val="none" w:sz="0" w:space="0" w:color="auto"/>
        </w:pBdr>
        <w:ind w:left="360"/>
        <w:jc w:val="both"/>
        <w:rPr>
          <w:rFonts w:ascii="Arial" w:hAnsi="Arial" w:cs="Arial"/>
          <w:color w:val="FF0000"/>
          <w:sz w:val="20"/>
          <w:szCs w:val="20"/>
        </w:rPr>
      </w:pPr>
    </w:p>
    <w:p w:rsidR="00644907" w:rsidRPr="007D45CE" w:rsidRDefault="00644907" w:rsidP="000B7101">
      <w:pPr>
        <w:spacing w:line="360" w:lineRule="auto"/>
        <w:ind w:left="360"/>
        <w:jc w:val="both"/>
        <w:rPr>
          <w:rFonts w:ascii="Arial" w:hAnsi="Arial" w:cs="Arial"/>
          <w:sz w:val="20"/>
          <w:szCs w:val="20"/>
        </w:rPr>
      </w:pPr>
      <w:r w:rsidRPr="007D45CE">
        <w:rPr>
          <w:rFonts w:ascii="Arial" w:hAnsi="Arial" w:cs="Arial"/>
          <w:sz w:val="20"/>
          <w:szCs w:val="20"/>
        </w:rPr>
        <w:t xml:space="preserve">Por último, se ajustan las previsiones con el importe que corresponde devolver al Estado anualmente, por las liquidaciones negativas de los años 2008 y 2009, y que no varía. </w:t>
      </w:r>
    </w:p>
    <w:p w:rsidR="00644907" w:rsidRPr="007D45CE" w:rsidRDefault="00644907" w:rsidP="000B7101">
      <w:pPr>
        <w:spacing w:line="360" w:lineRule="auto"/>
        <w:ind w:left="360"/>
        <w:jc w:val="both"/>
        <w:rPr>
          <w:rFonts w:ascii="Arial" w:hAnsi="Arial" w:cs="Arial"/>
          <w:sz w:val="20"/>
          <w:szCs w:val="20"/>
        </w:rPr>
      </w:pPr>
    </w:p>
    <w:p w:rsidR="00644907" w:rsidRPr="007D45CE" w:rsidRDefault="00644907" w:rsidP="000B7101">
      <w:pPr>
        <w:spacing w:line="360" w:lineRule="auto"/>
        <w:ind w:left="360"/>
        <w:jc w:val="both"/>
        <w:rPr>
          <w:rFonts w:ascii="Arial" w:hAnsi="Arial" w:cs="Arial"/>
          <w:sz w:val="20"/>
          <w:szCs w:val="20"/>
        </w:rPr>
      </w:pPr>
      <w:r w:rsidRPr="007D45CE">
        <w:rPr>
          <w:rFonts w:ascii="Arial" w:hAnsi="Arial" w:cs="Arial"/>
          <w:sz w:val="20"/>
          <w:szCs w:val="20"/>
        </w:rPr>
        <w:t>Los componentes que se integran en la previsión presupuestaria, se detallan en el siguiente cuadro:</w:t>
      </w:r>
    </w:p>
    <w:p w:rsidR="00644907" w:rsidRPr="008A755C" w:rsidRDefault="00644907" w:rsidP="00DD2152">
      <w:pPr>
        <w:spacing w:line="360" w:lineRule="auto"/>
        <w:ind w:left="792"/>
        <w:jc w:val="both"/>
        <w:rPr>
          <w:rFonts w:ascii="Arial" w:hAnsi="Arial" w:cs="Arial"/>
          <w:color w:val="FF0000"/>
          <w:sz w:val="20"/>
          <w:szCs w:val="20"/>
        </w:rPr>
      </w:pPr>
    </w:p>
    <w:p w:rsidR="00644907" w:rsidRPr="008A755C" w:rsidRDefault="003E3D1A" w:rsidP="00EA12B4">
      <w:pPr>
        <w:spacing w:line="360" w:lineRule="auto"/>
        <w:ind w:left="630"/>
        <w:jc w:val="both"/>
        <w:rPr>
          <w:rFonts w:ascii="Arial" w:hAnsi="Arial" w:cs="Arial"/>
          <w:color w:val="FF0000"/>
          <w:sz w:val="20"/>
          <w:szCs w:val="20"/>
        </w:rPr>
      </w:pPr>
      <w:r>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i1026" type="#_x0000_t75" style="width:378.35pt;height:82.45pt;visibility:visible">
            <v:imagedata r:id="rId16" o:title=""/>
          </v:shape>
        </w:pict>
      </w:r>
      <w:r w:rsidR="00644907" w:rsidRPr="008A755C">
        <w:rPr>
          <w:color w:val="FF0000"/>
        </w:rPr>
        <w:t xml:space="preserve">  </w:t>
      </w:r>
    </w:p>
    <w:p w:rsidR="00644907" w:rsidRPr="008A755C" w:rsidRDefault="00644907" w:rsidP="00DD2152">
      <w:pPr>
        <w:spacing w:line="360" w:lineRule="auto"/>
        <w:ind w:left="792"/>
        <w:jc w:val="both"/>
        <w:rPr>
          <w:rFonts w:ascii="Arial" w:hAnsi="Arial" w:cs="Arial"/>
          <w:color w:val="FF0000"/>
          <w:sz w:val="20"/>
          <w:szCs w:val="20"/>
        </w:rPr>
      </w:pPr>
    </w:p>
    <w:p w:rsidR="00644907" w:rsidRPr="007D45CE" w:rsidRDefault="00644907" w:rsidP="000B7101">
      <w:pPr>
        <w:spacing w:line="360" w:lineRule="auto"/>
        <w:ind w:left="426"/>
        <w:jc w:val="both"/>
        <w:rPr>
          <w:rFonts w:ascii="Arial" w:hAnsi="Arial" w:cs="Arial"/>
          <w:sz w:val="20"/>
          <w:szCs w:val="20"/>
        </w:rPr>
      </w:pPr>
      <w:r w:rsidRPr="007D45CE">
        <w:rPr>
          <w:rFonts w:ascii="Arial" w:hAnsi="Arial" w:cs="Arial"/>
          <w:sz w:val="20"/>
          <w:szCs w:val="20"/>
        </w:rPr>
        <w:t xml:space="preserve">En definitiva, las estimaciones presupuestarias de los ingresos derivados de la participación en tributos del Estado aumentan un 1,3% respecto a la estimación inicial del ejercicio precedente, lo que supone 1,4 M €. </w:t>
      </w:r>
    </w:p>
    <w:p w:rsidR="00644907" w:rsidRPr="00D26146" w:rsidRDefault="00644907" w:rsidP="000B7101">
      <w:pPr>
        <w:spacing w:line="360" w:lineRule="auto"/>
        <w:ind w:left="426"/>
        <w:jc w:val="both"/>
        <w:rPr>
          <w:rFonts w:ascii="Arial" w:hAnsi="Arial" w:cs="Arial"/>
          <w:color w:val="FF0000"/>
          <w:sz w:val="20"/>
          <w:szCs w:val="20"/>
        </w:rPr>
      </w:pPr>
    </w:p>
    <w:p w:rsidR="00644907" w:rsidRPr="00D26146" w:rsidRDefault="00644907" w:rsidP="008E5FA2">
      <w:pPr>
        <w:pStyle w:val="Sangra3detindependiente"/>
        <w:ind w:left="432" w:firstLine="0"/>
        <w:rPr>
          <w:rFonts w:ascii="Arial" w:hAnsi="Arial" w:cs="Arial"/>
          <w:color w:val="FF0000"/>
          <w:sz w:val="20"/>
          <w:szCs w:val="20"/>
        </w:rPr>
      </w:pPr>
    </w:p>
    <w:p w:rsidR="00644907" w:rsidRPr="00505A53" w:rsidRDefault="00644907" w:rsidP="000B7101">
      <w:pPr>
        <w:pStyle w:val="Sangra3detindependiente"/>
        <w:numPr>
          <w:ilvl w:val="0"/>
          <w:numId w:val="10"/>
        </w:numPr>
        <w:tabs>
          <w:tab w:val="clear" w:pos="792"/>
          <w:tab w:val="num" w:pos="360"/>
        </w:tabs>
        <w:ind w:left="360"/>
        <w:rPr>
          <w:rFonts w:ascii="Arial" w:hAnsi="Arial" w:cs="Arial"/>
          <w:sz w:val="20"/>
          <w:szCs w:val="20"/>
        </w:rPr>
      </w:pPr>
      <w:r w:rsidRPr="00505A53">
        <w:rPr>
          <w:rFonts w:ascii="Arial" w:hAnsi="Arial" w:cs="Arial"/>
          <w:sz w:val="20"/>
          <w:szCs w:val="20"/>
        </w:rPr>
        <w:t xml:space="preserve">En segundo lugar, se encuentra el </w:t>
      </w:r>
      <w:r w:rsidRPr="00505A53">
        <w:rPr>
          <w:rFonts w:ascii="Arial" w:hAnsi="Arial" w:cs="Arial"/>
          <w:b/>
          <w:bCs/>
          <w:sz w:val="20"/>
          <w:szCs w:val="20"/>
        </w:rPr>
        <w:t>conjunto de ingresos procedentes de la Comunidad Autónoma.</w:t>
      </w:r>
      <w:r w:rsidRPr="00505A53">
        <w:rPr>
          <w:rFonts w:ascii="Arial" w:hAnsi="Arial" w:cs="Arial"/>
          <w:sz w:val="20"/>
          <w:szCs w:val="20"/>
        </w:rPr>
        <w:t xml:space="preserve"> En total, las transferencias de la Comunidad Autónoma ascienden a 231,7 M € y suponen el 68,8% del total de transferencias corrientes.</w:t>
      </w:r>
    </w:p>
    <w:p w:rsidR="00644907" w:rsidRPr="00D26146" w:rsidRDefault="00644907" w:rsidP="000B7101">
      <w:pPr>
        <w:pStyle w:val="Sangra3detindependiente"/>
        <w:ind w:firstLine="0"/>
        <w:rPr>
          <w:rFonts w:ascii="Arial" w:hAnsi="Arial" w:cs="Arial"/>
          <w:color w:val="FF0000"/>
          <w:sz w:val="20"/>
          <w:szCs w:val="20"/>
        </w:rPr>
      </w:pPr>
    </w:p>
    <w:p w:rsidR="00644907" w:rsidRPr="00505A53" w:rsidRDefault="00644907" w:rsidP="00F25CEC">
      <w:pPr>
        <w:pStyle w:val="Sangra3detindependiente"/>
        <w:numPr>
          <w:ilvl w:val="0"/>
          <w:numId w:val="16"/>
        </w:numPr>
        <w:rPr>
          <w:rFonts w:ascii="Arial" w:hAnsi="Arial" w:cs="Arial"/>
          <w:sz w:val="20"/>
          <w:szCs w:val="20"/>
        </w:rPr>
      </w:pPr>
      <w:r w:rsidRPr="00505A53">
        <w:rPr>
          <w:rFonts w:ascii="Arial" w:hAnsi="Arial" w:cs="Arial"/>
          <w:sz w:val="20"/>
          <w:szCs w:val="20"/>
        </w:rPr>
        <w:t xml:space="preserve">Dentro de las transferencias recibidas de la Comunidad Autónoma destacan las </w:t>
      </w:r>
      <w:r w:rsidRPr="00505A53">
        <w:rPr>
          <w:rFonts w:ascii="Arial" w:hAnsi="Arial" w:cs="Arial"/>
          <w:b/>
          <w:bCs/>
          <w:sz w:val="20"/>
          <w:szCs w:val="20"/>
        </w:rPr>
        <w:t>dotaciones para la financiación de las competencias transferidas y delegadas al Cabildo</w:t>
      </w:r>
      <w:r w:rsidRPr="00505A53">
        <w:rPr>
          <w:rFonts w:ascii="Arial" w:hAnsi="Arial" w:cs="Arial"/>
          <w:sz w:val="20"/>
          <w:szCs w:val="20"/>
        </w:rPr>
        <w:t>, que ascienden a 112,9 M €.</w:t>
      </w:r>
    </w:p>
    <w:p w:rsidR="00644907" w:rsidRPr="00D26146" w:rsidRDefault="00644907" w:rsidP="000B7101">
      <w:pPr>
        <w:spacing w:line="360" w:lineRule="auto"/>
        <w:ind w:left="366"/>
        <w:jc w:val="both"/>
        <w:rPr>
          <w:rFonts w:ascii="Arial" w:hAnsi="Arial" w:cs="Arial"/>
          <w:color w:val="FF0000"/>
          <w:sz w:val="20"/>
          <w:szCs w:val="20"/>
        </w:rPr>
      </w:pPr>
    </w:p>
    <w:p w:rsidR="00644907" w:rsidRPr="00505A53" w:rsidRDefault="00644907" w:rsidP="000B7101">
      <w:pPr>
        <w:spacing w:line="360" w:lineRule="auto"/>
        <w:ind w:left="366"/>
        <w:jc w:val="both"/>
        <w:rPr>
          <w:rFonts w:ascii="Arial" w:hAnsi="Arial" w:cs="Arial"/>
          <w:sz w:val="20"/>
          <w:szCs w:val="20"/>
        </w:rPr>
      </w:pPr>
      <w:r w:rsidRPr="00505A53">
        <w:rPr>
          <w:rFonts w:ascii="Arial" w:hAnsi="Arial" w:cs="Arial"/>
          <w:sz w:val="20"/>
          <w:szCs w:val="20"/>
        </w:rPr>
        <w:t xml:space="preserve">Éstas representan el 33,5 % de las transferencias corrientes, y el </w:t>
      </w:r>
      <w:r w:rsidRPr="00505A53">
        <w:rPr>
          <w:rFonts w:ascii="Arial" w:hAnsi="Arial" w:cs="Arial"/>
          <w:b/>
          <w:bCs/>
          <w:sz w:val="20"/>
          <w:szCs w:val="20"/>
        </w:rPr>
        <w:t>13,2%</w:t>
      </w:r>
      <w:r w:rsidRPr="00505A53">
        <w:rPr>
          <w:rFonts w:ascii="Arial" w:hAnsi="Arial" w:cs="Arial"/>
          <w:sz w:val="20"/>
          <w:szCs w:val="20"/>
        </w:rPr>
        <w:t xml:space="preserve"> de los ingresos no financieros.</w:t>
      </w:r>
    </w:p>
    <w:p w:rsidR="00644907" w:rsidRPr="00D26146" w:rsidRDefault="00644907" w:rsidP="000B7101">
      <w:pPr>
        <w:spacing w:line="360" w:lineRule="auto"/>
        <w:ind w:left="366"/>
        <w:jc w:val="both"/>
        <w:rPr>
          <w:rFonts w:ascii="Arial" w:hAnsi="Arial" w:cs="Arial"/>
          <w:color w:val="FF0000"/>
          <w:sz w:val="20"/>
          <w:szCs w:val="20"/>
        </w:rPr>
      </w:pPr>
    </w:p>
    <w:p w:rsidR="00644907" w:rsidRPr="00505A53" w:rsidRDefault="00644907" w:rsidP="000B7101">
      <w:pPr>
        <w:spacing w:line="360" w:lineRule="auto"/>
        <w:ind w:left="366"/>
        <w:jc w:val="both"/>
        <w:rPr>
          <w:rFonts w:ascii="Arial" w:hAnsi="Arial" w:cs="Arial"/>
          <w:sz w:val="20"/>
          <w:szCs w:val="20"/>
        </w:rPr>
      </w:pPr>
      <w:r w:rsidRPr="00505A53">
        <w:rPr>
          <w:rFonts w:ascii="Arial" w:hAnsi="Arial" w:cs="Arial"/>
          <w:sz w:val="20"/>
          <w:szCs w:val="20"/>
        </w:rPr>
        <w:lastRenderedPageBreak/>
        <w:t>Las previsiones de ingresos para financiar estas competencias aumentan en 20,9 M €, un 22,7% respecto a las del ejercicio anterior. Dichas previsiones aglutinan</w:t>
      </w:r>
      <w:r>
        <w:rPr>
          <w:rFonts w:ascii="Arial" w:hAnsi="Arial" w:cs="Arial"/>
          <w:sz w:val="20"/>
          <w:szCs w:val="20"/>
        </w:rPr>
        <w:t xml:space="preserve"> las entregas a cuenta para 2019, la liquidación de 2017, y un ajuste por actualización de la cantidad que se recibió en 2015 </w:t>
      </w:r>
      <w:r w:rsidRPr="00505A53">
        <w:rPr>
          <w:rFonts w:ascii="Arial" w:hAnsi="Arial" w:cs="Arial"/>
          <w:sz w:val="20"/>
          <w:szCs w:val="20"/>
        </w:rPr>
        <w:t>fruto del acuerdo suscrito entre la Comunidad Autónoma y los Cabildos Insulares con fecha 9 de diciembre de 2014.</w:t>
      </w:r>
    </w:p>
    <w:p w:rsidR="00644907" w:rsidRPr="00D26146" w:rsidRDefault="00644907" w:rsidP="000B7101">
      <w:pPr>
        <w:spacing w:line="360" w:lineRule="auto"/>
        <w:ind w:left="366"/>
        <w:jc w:val="both"/>
        <w:rPr>
          <w:rFonts w:ascii="Arial" w:hAnsi="Arial" w:cs="Arial"/>
          <w:color w:val="FF0000"/>
          <w:sz w:val="20"/>
          <w:szCs w:val="20"/>
        </w:rPr>
      </w:pPr>
    </w:p>
    <w:p w:rsidR="00644907" w:rsidRPr="001C0C2F" w:rsidRDefault="00644907" w:rsidP="000B7101">
      <w:pPr>
        <w:spacing w:line="360" w:lineRule="auto"/>
        <w:ind w:left="366"/>
        <w:jc w:val="both"/>
        <w:rPr>
          <w:rFonts w:ascii="Arial" w:hAnsi="Arial" w:cs="Arial"/>
          <w:sz w:val="20"/>
          <w:szCs w:val="20"/>
        </w:rPr>
      </w:pPr>
      <w:r w:rsidRPr="001C0C2F">
        <w:rPr>
          <w:rFonts w:ascii="Arial" w:hAnsi="Arial" w:cs="Arial"/>
          <w:sz w:val="20"/>
          <w:szCs w:val="20"/>
        </w:rPr>
        <w:t xml:space="preserve">Por un lado, las entregas a cuenta correspondientes a 2019 para la financiación de las competencias transferidas y delegadas por la Comunidad Autónoma, se han actualizado en un 9,3%, conforme al criterio establecido en el artículo 9 de la Ley 9/2003, de 3 de abril, de Medidas Tributarias y de Financiación de las Haciendas Territoriales, en la redacción dada al mismo por la disposición final quinta de la Ley 11/2014, de 26 de diciembre, de Presupuestos de Canarias para 2015. </w:t>
      </w:r>
    </w:p>
    <w:p w:rsidR="00644907" w:rsidRPr="001C0C2F" w:rsidRDefault="00644907" w:rsidP="000B7101">
      <w:pPr>
        <w:spacing w:line="360" w:lineRule="auto"/>
        <w:ind w:left="366"/>
        <w:jc w:val="both"/>
        <w:rPr>
          <w:rFonts w:ascii="Arial" w:hAnsi="Arial" w:cs="Arial"/>
          <w:sz w:val="20"/>
          <w:szCs w:val="20"/>
        </w:rPr>
      </w:pPr>
      <w:r w:rsidRPr="001C0C2F">
        <w:rPr>
          <w:rFonts w:ascii="Arial" w:hAnsi="Arial" w:cs="Arial"/>
          <w:sz w:val="20"/>
          <w:szCs w:val="20"/>
        </w:rPr>
        <w:t>Por otro lado, la previsión de liquidación de la financiación correspondiente al ejercicio 2017, a percibir en 2019, asciende a 7,6 M €.</w:t>
      </w:r>
    </w:p>
    <w:p w:rsidR="00644907" w:rsidRPr="0042503F" w:rsidRDefault="00644907" w:rsidP="001C0C2F">
      <w:pPr>
        <w:spacing w:line="360" w:lineRule="auto"/>
        <w:ind w:left="366"/>
        <w:jc w:val="both"/>
        <w:rPr>
          <w:rFonts w:ascii="Arial" w:hAnsi="Arial" w:cs="Arial"/>
          <w:sz w:val="20"/>
          <w:szCs w:val="20"/>
        </w:rPr>
      </w:pPr>
      <w:r w:rsidRPr="0042503F">
        <w:rPr>
          <w:rFonts w:ascii="Arial" w:hAnsi="Arial" w:cs="Arial"/>
          <w:sz w:val="20"/>
          <w:szCs w:val="20"/>
        </w:rPr>
        <w:t xml:space="preserve">Las cantidades en concepto de entregas a cuenta y liquidación de la financiación de las competencias transferidas y delegadas son reflejo de las cantidades consignadas en el Proyecto de Ley de Presupuestos Generales de la Comunidad Autónoma de Canarias para 2019. </w:t>
      </w:r>
    </w:p>
    <w:p w:rsidR="00644907" w:rsidRPr="00D26146" w:rsidRDefault="00644907" w:rsidP="000B7101">
      <w:pPr>
        <w:spacing w:line="360" w:lineRule="auto"/>
        <w:ind w:left="366"/>
        <w:jc w:val="both"/>
        <w:rPr>
          <w:rFonts w:ascii="Arial" w:hAnsi="Arial" w:cs="Arial"/>
          <w:color w:val="FF0000"/>
          <w:sz w:val="20"/>
          <w:szCs w:val="20"/>
        </w:rPr>
      </w:pPr>
    </w:p>
    <w:p w:rsidR="00644907" w:rsidRDefault="00644907" w:rsidP="000B7101">
      <w:pPr>
        <w:spacing w:line="360" w:lineRule="auto"/>
        <w:ind w:left="366"/>
        <w:jc w:val="both"/>
        <w:rPr>
          <w:rFonts w:ascii="Arial" w:hAnsi="Arial" w:cs="Arial"/>
          <w:sz w:val="20"/>
          <w:szCs w:val="20"/>
        </w:rPr>
      </w:pPr>
      <w:r w:rsidRPr="001C0C2F">
        <w:rPr>
          <w:rFonts w:ascii="Arial" w:hAnsi="Arial" w:cs="Arial"/>
          <w:sz w:val="20"/>
          <w:szCs w:val="20"/>
        </w:rPr>
        <w:t>Por otro lado, se ha previsto la devolución anual (-1,7 M €) correspondiente al saldo negativo de las liquidaciones definitivas correspondientes a 2008 y 2009, que no varía.</w:t>
      </w:r>
    </w:p>
    <w:p w:rsidR="00644907" w:rsidRDefault="00644907" w:rsidP="000B7101">
      <w:pPr>
        <w:spacing w:line="360" w:lineRule="auto"/>
        <w:ind w:left="366"/>
        <w:jc w:val="both"/>
        <w:rPr>
          <w:rFonts w:ascii="Arial" w:hAnsi="Arial" w:cs="Arial"/>
          <w:sz w:val="20"/>
          <w:szCs w:val="20"/>
        </w:rPr>
      </w:pPr>
    </w:p>
    <w:p w:rsidR="00644907" w:rsidRDefault="00644907" w:rsidP="000B7101">
      <w:pPr>
        <w:spacing w:line="360" w:lineRule="auto"/>
        <w:ind w:left="366"/>
        <w:jc w:val="both"/>
        <w:rPr>
          <w:rFonts w:ascii="Arial" w:hAnsi="Arial" w:cs="Arial"/>
          <w:sz w:val="20"/>
          <w:szCs w:val="20"/>
        </w:rPr>
      </w:pPr>
      <w:r>
        <w:rPr>
          <w:rFonts w:ascii="Arial" w:hAnsi="Arial" w:cs="Arial"/>
          <w:sz w:val="20"/>
          <w:szCs w:val="20"/>
        </w:rPr>
        <w:t xml:space="preserve">Por último, se espera recibir una cantidad adicional ascendente a 8,1 M €, como resultado de las gestiones realizadas para el reconocimiento de la cantidad que hubiera resultado de aplicar el índice de evolución de la financiación de la CAC en 2015, sobre los importes que los Cabildos percibieron en 2015 para la financiación de las competencias transferidas y delegadas, establecidos en el acuerdo firmado el 9 de diciembre de 2014.  Habiéndose trasladado esta petición al Gobierno de la Comunidad Autónoma, se espera que fructifique durante el mes de noviembre de 2018 mediante acuerdo a alcanzar entre el Gobierno y los Cabildos. </w:t>
      </w:r>
    </w:p>
    <w:p w:rsidR="00644907" w:rsidRPr="00D26146" w:rsidRDefault="00644907" w:rsidP="000B7101">
      <w:pPr>
        <w:spacing w:line="360" w:lineRule="auto"/>
        <w:ind w:left="366"/>
        <w:jc w:val="both"/>
        <w:rPr>
          <w:rFonts w:ascii="Arial" w:hAnsi="Arial" w:cs="Arial"/>
          <w:color w:val="FF0000"/>
          <w:sz w:val="20"/>
          <w:szCs w:val="20"/>
        </w:rPr>
      </w:pPr>
    </w:p>
    <w:p w:rsidR="00644907" w:rsidRDefault="00644907" w:rsidP="000B7101">
      <w:pPr>
        <w:pStyle w:val="Sangra3detindependiente"/>
        <w:ind w:left="360" w:firstLine="0"/>
        <w:rPr>
          <w:rFonts w:ascii="Arial" w:hAnsi="Arial" w:cs="Arial"/>
          <w:sz w:val="20"/>
          <w:szCs w:val="20"/>
        </w:rPr>
      </w:pPr>
      <w:r w:rsidRPr="00AF6DA2">
        <w:rPr>
          <w:rFonts w:ascii="Arial" w:hAnsi="Arial" w:cs="Arial"/>
          <w:sz w:val="20"/>
          <w:szCs w:val="20"/>
        </w:rPr>
        <w:t>Los componentes que se integran en la previsión presupuestaria se detallan en los siguientes cuadros:</w:t>
      </w:r>
    </w:p>
    <w:p w:rsidR="00644907" w:rsidRDefault="00644907" w:rsidP="000B7101">
      <w:pPr>
        <w:pStyle w:val="Sangra3detindependiente"/>
        <w:ind w:left="360" w:firstLine="0"/>
        <w:rPr>
          <w:rFonts w:ascii="Arial" w:hAnsi="Arial" w:cs="Arial"/>
          <w:sz w:val="20"/>
          <w:szCs w:val="20"/>
        </w:rPr>
      </w:pPr>
    </w:p>
    <w:p w:rsidR="00644907" w:rsidRPr="00AF6DA2" w:rsidRDefault="003E3D1A" w:rsidP="000B7101">
      <w:pPr>
        <w:pStyle w:val="Sangra3detindependiente"/>
        <w:ind w:left="360" w:firstLine="0"/>
        <w:rPr>
          <w:rFonts w:ascii="Arial" w:hAnsi="Arial" w:cs="Arial"/>
          <w:sz w:val="20"/>
          <w:szCs w:val="20"/>
        </w:rPr>
      </w:pPr>
      <w:r>
        <w:rPr>
          <w:noProof/>
        </w:rPr>
        <w:lastRenderedPageBreak/>
        <w:pict>
          <v:shape id="Imagen 14" o:spid="_x0000_i1027" type="#_x0000_t75" style="width:425.15pt;height:301.3pt;visibility:visible">
            <v:imagedata r:id="rId17" o:title=""/>
          </v:shape>
        </w:pict>
      </w:r>
    </w:p>
    <w:p w:rsidR="00644907" w:rsidRPr="00D26146" w:rsidRDefault="00644907" w:rsidP="000B7101">
      <w:pPr>
        <w:pStyle w:val="Sangra3detindependiente"/>
        <w:ind w:left="360" w:firstLine="0"/>
        <w:rPr>
          <w:rFonts w:ascii="Arial" w:hAnsi="Arial" w:cs="Arial"/>
          <w:color w:val="FF0000"/>
          <w:sz w:val="20"/>
          <w:szCs w:val="20"/>
        </w:rPr>
      </w:pPr>
    </w:p>
    <w:p w:rsidR="00644907" w:rsidRPr="00B378C4" w:rsidRDefault="00644907" w:rsidP="00B378C4">
      <w:pPr>
        <w:pStyle w:val="Sangra3detindependiente"/>
        <w:numPr>
          <w:ilvl w:val="0"/>
          <w:numId w:val="16"/>
        </w:numPr>
        <w:rPr>
          <w:rFonts w:ascii="Arial" w:hAnsi="Arial" w:cs="Arial"/>
          <w:sz w:val="20"/>
          <w:szCs w:val="20"/>
        </w:rPr>
      </w:pPr>
      <w:r w:rsidRPr="00B378C4">
        <w:rPr>
          <w:rFonts w:ascii="Arial" w:hAnsi="Arial" w:cs="Arial"/>
          <w:sz w:val="20"/>
          <w:szCs w:val="20"/>
        </w:rPr>
        <w:t xml:space="preserve">Por su parte, la estimación de </w:t>
      </w:r>
      <w:r w:rsidRPr="00B378C4">
        <w:rPr>
          <w:rFonts w:ascii="Arial" w:hAnsi="Arial" w:cs="Arial"/>
          <w:b/>
          <w:bCs/>
          <w:sz w:val="20"/>
          <w:szCs w:val="20"/>
        </w:rPr>
        <w:t>recursos procedentes del FDCAN</w:t>
      </w:r>
      <w:r w:rsidRPr="00B378C4">
        <w:rPr>
          <w:rFonts w:ascii="Arial" w:hAnsi="Arial" w:cs="Arial"/>
          <w:sz w:val="20"/>
          <w:szCs w:val="20"/>
        </w:rPr>
        <w:t xml:space="preserve"> que se prevén destinar  a proyectos de gasto de naturaleza corriente, asciende a 9,8 M €.</w:t>
      </w:r>
      <w:r>
        <w:rPr>
          <w:rFonts w:ascii="Arial" w:hAnsi="Arial" w:cs="Arial"/>
          <w:sz w:val="20"/>
          <w:szCs w:val="20"/>
        </w:rPr>
        <w:t xml:space="preserve"> </w:t>
      </w:r>
      <w:r w:rsidRPr="00B378C4">
        <w:rPr>
          <w:rFonts w:ascii="Arial" w:hAnsi="Arial" w:cs="Arial"/>
          <w:sz w:val="20"/>
          <w:szCs w:val="20"/>
        </w:rPr>
        <w:t>Los fondos a percibir con cargo al FDCAN se reflejan como ingresos corrientes o de capital en atención a la naturaleza de los gastos que se han presupuestado en 201</w:t>
      </w:r>
      <w:r>
        <w:rPr>
          <w:rFonts w:ascii="Arial" w:hAnsi="Arial" w:cs="Arial"/>
          <w:sz w:val="20"/>
          <w:szCs w:val="20"/>
        </w:rPr>
        <w:t>9</w:t>
      </w:r>
      <w:r w:rsidRPr="00B378C4">
        <w:rPr>
          <w:rFonts w:ascii="Arial" w:hAnsi="Arial" w:cs="Arial"/>
          <w:sz w:val="20"/>
          <w:szCs w:val="20"/>
        </w:rPr>
        <w:t xml:space="preserve"> y que se estima tienen mayor probabilidad de que puedan justificarse al FDCAN.  </w:t>
      </w:r>
    </w:p>
    <w:p w:rsidR="00644907" w:rsidRPr="00D26146" w:rsidRDefault="00644907" w:rsidP="00EA12B4">
      <w:pPr>
        <w:pStyle w:val="Sangra3detindependiente"/>
        <w:ind w:left="392" w:firstLine="0"/>
        <w:rPr>
          <w:rFonts w:ascii="Arial" w:hAnsi="Arial" w:cs="Arial"/>
          <w:color w:val="FF0000"/>
          <w:sz w:val="20"/>
          <w:szCs w:val="20"/>
        </w:rPr>
      </w:pPr>
    </w:p>
    <w:p w:rsidR="00644907" w:rsidRPr="00B378C4" w:rsidRDefault="00644907" w:rsidP="00F25CEC">
      <w:pPr>
        <w:pStyle w:val="Sangra3detindependiente"/>
        <w:ind w:left="406" w:firstLine="0"/>
        <w:rPr>
          <w:rFonts w:ascii="Arial" w:hAnsi="Arial" w:cs="Arial"/>
          <w:sz w:val="20"/>
          <w:szCs w:val="20"/>
        </w:rPr>
      </w:pPr>
      <w:r w:rsidRPr="00B378C4">
        <w:rPr>
          <w:rFonts w:ascii="Arial" w:hAnsi="Arial" w:cs="Arial"/>
          <w:sz w:val="20"/>
          <w:szCs w:val="20"/>
        </w:rPr>
        <w:t>El resto de transferencias de la C.A.C. suman un total de 109,0 M €, y entre ellas destacan las siguientes:</w:t>
      </w:r>
    </w:p>
    <w:p w:rsidR="00644907" w:rsidRPr="00B378C4" w:rsidRDefault="00644907" w:rsidP="00EA12B4">
      <w:pPr>
        <w:pStyle w:val="Sangra3detindependiente"/>
        <w:ind w:left="392" w:firstLine="0"/>
        <w:rPr>
          <w:rFonts w:ascii="Arial" w:hAnsi="Arial" w:cs="Arial"/>
          <w:sz w:val="20"/>
          <w:szCs w:val="20"/>
        </w:rPr>
      </w:pPr>
    </w:p>
    <w:p w:rsidR="00644907" w:rsidRDefault="00644907" w:rsidP="003808AC">
      <w:pPr>
        <w:pStyle w:val="Sangra3detindependiente"/>
        <w:numPr>
          <w:ilvl w:val="0"/>
          <w:numId w:val="15"/>
        </w:numPr>
        <w:ind w:left="378"/>
        <w:rPr>
          <w:rFonts w:ascii="Arial" w:hAnsi="Arial" w:cs="Arial"/>
          <w:sz w:val="20"/>
          <w:szCs w:val="20"/>
        </w:rPr>
      </w:pPr>
      <w:r w:rsidRPr="00B378C4">
        <w:rPr>
          <w:rFonts w:ascii="Arial" w:hAnsi="Arial" w:cs="Arial"/>
          <w:sz w:val="20"/>
          <w:szCs w:val="20"/>
        </w:rPr>
        <w:t>La aportación ascendente a 22,7 M €, derivada de la repercusión a las Corporaciones Locales de una parte de la cantidad que la Comunidad Autónoma deja de compensar al Estado por la supresión del IGTE, que se mantiene en iguales términos, y de la cual se distribuyen a los Ayuntamientos 8,5 M €.</w:t>
      </w:r>
    </w:p>
    <w:p w:rsidR="00644907" w:rsidRDefault="00644907" w:rsidP="00B378C4">
      <w:pPr>
        <w:pStyle w:val="Sangra3detindependiente"/>
        <w:ind w:left="378" w:firstLine="0"/>
        <w:rPr>
          <w:rFonts w:ascii="Arial" w:hAnsi="Arial" w:cs="Arial"/>
          <w:sz w:val="20"/>
          <w:szCs w:val="20"/>
        </w:rPr>
      </w:pPr>
    </w:p>
    <w:p w:rsidR="00644907" w:rsidRPr="00B378C4" w:rsidRDefault="00644907" w:rsidP="00B378C4">
      <w:pPr>
        <w:pStyle w:val="Sangra3detindependiente"/>
        <w:numPr>
          <w:ilvl w:val="0"/>
          <w:numId w:val="15"/>
        </w:numPr>
        <w:ind w:left="378"/>
        <w:rPr>
          <w:rFonts w:ascii="Arial" w:hAnsi="Arial" w:cs="Arial"/>
          <w:sz w:val="20"/>
          <w:szCs w:val="20"/>
        </w:rPr>
      </w:pPr>
      <w:r w:rsidRPr="00B378C4">
        <w:rPr>
          <w:rFonts w:ascii="Arial" w:hAnsi="Arial" w:cs="Arial"/>
          <w:sz w:val="20"/>
          <w:szCs w:val="20"/>
        </w:rPr>
        <w:t xml:space="preserve">La aportación consignada en el Proyecto de Ley de Presupuestos de la Comunidad Autónoma de Canarias para 2019, para compensar a las Corporaciones Locales por la incidencia recaudatoria que origine la reducción del tipo impositivo general del IGIC del 7% al 6,5% prevista en dicho proyecto, y que se distribuirá entre las mismas con los mismos criterios que los recursos que conforman el Bloque de Financiación Canario, según prevé </w:t>
      </w:r>
      <w:r>
        <w:rPr>
          <w:rFonts w:ascii="Arial" w:hAnsi="Arial" w:cs="Arial"/>
          <w:sz w:val="20"/>
          <w:szCs w:val="20"/>
        </w:rPr>
        <w:t>su</w:t>
      </w:r>
      <w:r w:rsidRPr="00B378C4">
        <w:rPr>
          <w:rFonts w:ascii="Arial" w:hAnsi="Arial" w:cs="Arial"/>
          <w:sz w:val="20"/>
          <w:szCs w:val="20"/>
        </w:rPr>
        <w:t xml:space="preserve"> disposición adicional sexagésima primera.  Se estima que corresponderán a Tenerife 16,1 M €, de los cuales 6,0 M € se han de distribuir a los Ayuntamientos.</w:t>
      </w:r>
    </w:p>
    <w:p w:rsidR="00644907" w:rsidRPr="00B378C4" w:rsidRDefault="00644907" w:rsidP="00B378C4">
      <w:pPr>
        <w:pStyle w:val="Sangra3detindependiente"/>
        <w:ind w:left="378" w:firstLine="0"/>
        <w:rPr>
          <w:rFonts w:ascii="Arial" w:hAnsi="Arial" w:cs="Arial"/>
          <w:sz w:val="20"/>
          <w:szCs w:val="20"/>
        </w:rPr>
      </w:pPr>
    </w:p>
    <w:p w:rsidR="00644907" w:rsidRDefault="00644907" w:rsidP="003808AC">
      <w:pPr>
        <w:pStyle w:val="Sangra3detindependiente"/>
        <w:numPr>
          <w:ilvl w:val="0"/>
          <w:numId w:val="15"/>
        </w:numPr>
        <w:ind w:left="378"/>
        <w:rPr>
          <w:rFonts w:ascii="Arial" w:hAnsi="Arial" w:cs="Arial"/>
          <w:sz w:val="20"/>
          <w:szCs w:val="20"/>
        </w:rPr>
      </w:pPr>
      <w:r w:rsidRPr="00B426BC">
        <w:rPr>
          <w:rFonts w:ascii="Arial" w:hAnsi="Arial" w:cs="Arial"/>
          <w:sz w:val="20"/>
          <w:szCs w:val="20"/>
        </w:rPr>
        <w:lastRenderedPageBreak/>
        <w:t xml:space="preserve">La financiación para atención a la dependencia por importe de 49,4 M €, correspondiente a la anualidad 2019 del convenio suscrito el 8 de agosto de 2018 para la prestación de servicios a personas en situación de dependencia durante el período 2018-2021, superior en 10,5 M al importe estimado en el presupuesto inicial para 2018.  </w:t>
      </w:r>
    </w:p>
    <w:p w:rsidR="00644907" w:rsidRDefault="00644907" w:rsidP="00EB504E">
      <w:pPr>
        <w:pStyle w:val="Prrafodelista"/>
        <w:rPr>
          <w:rFonts w:ascii="Arial" w:hAnsi="Arial" w:cs="Arial"/>
          <w:sz w:val="20"/>
          <w:szCs w:val="20"/>
        </w:rPr>
      </w:pPr>
    </w:p>
    <w:p w:rsidR="00644907" w:rsidRPr="00B426BC" w:rsidRDefault="00644907" w:rsidP="003808AC">
      <w:pPr>
        <w:pStyle w:val="Sangra3detindependiente"/>
        <w:numPr>
          <w:ilvl w:val="0"/>
          <w:numId w:val="15"/>
        </w:numPr>
        <w:ind w:left="378"/>
        <w:rPr>
          <w:rFonts w:ascii="Arial" w:hAnsi="Arial" w:cs="Arial"/>
          <w:sz w:val="20"/>
          <w:szCs w:val="20"/>
        </w:rPr>
      </w:pPr>
      <w:r>
        <w:rPr>
          <w:rFonts w:ascii="Arial" w:hAnsi="Arial" w:cs="Arial"/>
          <w:sz w:val="20"/>
          <w:szCs w:val="20"/>
        </w:rPr>
        <w:t xml:space="preserve">La financiación que se prevé mantener, procedente del Instituto Canario de Igualdad, con destino al sostenimiento de las actuaciones realizadas por el </w:t>
      </w:r>
      <w:r w:rsidRPr="00037EA7">
        <w:rPr>
          <w:rFonts w:ascii="Arial" w:hAnsi="Arial" w:cs="Arial"/>
          <w:sz w:val="20"/>
          <w:szCs w:val="20"/>
        </w:rPr>
        <w:t xml:space="preserve">Organismo Autónomo Instituto de Atención Social y </w:t>
      </w:r>
      <w:proofErr w:type="spellStart"/>
      <w:r w:rsidRPr="00037EA7">
        <w:rPr>
          <w:rFonts w:ascii="Arial" w:hAnsi="Arial" w:cs="Arial"/>
          <w:sz w:val="20"/>
          <w:szCs w:val="20"/>
        </w:rPr>
        <w:t>Sociosanitaria</w:t>
      </w:r>
      <w:proofErr w:type="spellEnd"/>
      <w:r w:rsidRPr="00037EA7">
        <w:rPr>
          <w:rFonts w:ascii="Arial" w:hAnsi="Arial" w:cs="Arial"/>
          <w:sz w:val="20"/>
          <w:szCs w:val="20"/>
        </w:rPr>
        <w:t xml:space="preserve"> (IASS)</w:t>
      </w:r>
      <w:r>
        <w:rPr>
          <w:rFonts w:ascii="Arial" w:hAnsi="Arial" w:cs="Arial"/>
          <w:sz w:val="20"/>
          <w:szCs w:val="20"/>
        </w:rPr>
        <w:t xml:space="preserve"> para la atención a las víctimas de violencia de género, previéndose la formalización de nuevo convenio al efecto, al igual que en ejercicios anteriores. Como ya se comentó, dicha financiación pasa a presupuestarse en el ente matriz Cabildo, al ser ésta la entidad firmante del convenio y que percibe los ingresos, y a fin de mantener un criterio uniforme para el reflejo presupuestario de los convenios en materia de atención social cuya gestión corresponde al IASS. </w:t>
      </w:r>
    </w:p>
    <w:p w:rsidR="00644907" w:rsidRPr="00D26146" w:rsidRDefault="00644907" w:rsidP="003808AC">
      <w:pPr>
        <w:pStyle w:val="Sangra3detindependiente"/>
        <w:ind w:left="378" w:firstLine="0"/>
        <w:rPr>
          <w:rFonts w:ascii="Arial" w:hAnsi="Arial" w:cs="Arial"/>
          <w:color w:val="FF0000"/>
          <w:sz w:val="20"/>
          <w:szCs w:val="20"/>
        </w:rPr>
      </w:pPr>
    </w:p>
    <w:p w:rsidR="00644907" w:rsidRPr="00B426BC" w:rsidRDefault="00644907" w:rsidP="003808AC">
      <w:pPr>
        <w:pStyle w:val="Sangra3detindependiente"/>
        <w:numPr>
          <w:ilvl w:val="0"/>
          <w:numId w:val="15"/>
        </w:numPr>
        <w:ind w:left="378"/>
        <w:rPr>
          <w:rFonts w:ascii="Arial" w:hAnsi="Arial" w:cs="Arial"/>
          <w:sz w:val="20"/>
          <w:szCs w:val="20"/>
        </w:rPr>
      </w:pPr>
      <w:r w:rsidRPr="00B426BC">
        <w:rPr>
          <w:rFonts w:ascii="Arial" w:hAnsi="Arial" w:cs="Arial"/>
          <w:sz w:val="20"/>
          <w:szCs w:val="20"/>
        </w:rPr>
        <w:t>La transferencia destinada al programa de transportes, derivada de la distribución que la Comunidad Autónoma realiza entre las islas de la subvención nominativa que ésta recibe del Estado para la financiación de las necesidades correspondientes al transporte regular de viajeros en Canarias, y que se mantiene en 8,1 M €. Dicha cuantía se ha consignado a favor del Cabildo en el Proyecto de Presupuestos de la Comunidad Autónoma para 2019.</w:t>
      </w:r>
    </w:p>
    <w:p w:rsidR="00644907" w:rsidRPr="00483C1A" w:rsidRDefault="00644907" w:rsidP="003808AC">
      <w:pPr>
        <w:pStyle w:val="Sangra3detindependiente"/>
        <w:numPr>
          <w:ilvl w:val="0"/>
          <w:numId w:val="15"/>
        </w:numPr>
        <w:ind w:left="378"/>
        <w:rPr>
          <w:rFonts w:ascii="Arial" w:hAnsi="Arial" w:cs="Arial"/>
          <w:sz w:val="20"/>
          <w:szCs w:val="20"/>
        </w:rPr>
      </w:pPr>
      <w:r w:rsidRPr="00483C1A">
        <w:rPr>
          <w:rFonts w:ascii="Arial" w:hAnsi="Arial" w:cs="Arial"/>
          <w:sz w:val="20"/>
          <w:szCs w:val="20"/>
        </w:rPr>
        <w:t>Además, se han reflejado otros 10,0 M € para políticas de transporte, en concreto para la implementación del “bono residente canario”.  La previsión para 2019 responde, por un lado, al 75% (6,0 M €) que se espera ingresar en 2019 de la cantidad de 8,0 M € concedida para tal fin por Orden del Consejero de Obras Públicas y Transportes del Gobierno de Canarias dictada el 22 de octubre de 2018; y por otro lado, a la cantidad de 4,0 M € que se estima que corresponda al Cabildo de Tenerife de la cantidad consignada con destino a dichas políticas en el Proyecto de Presupuestos de la Comunidad Autónoma para 2019.</w:t>
      </w:r>
    </w:p>
    <w:p w:rsidR="00644907" w:rsidRPr="00D26146" w:rsidRDefault="00644907" w:rsidP="00EA12B4">
      <w:pPr>
        <w:pStyle w:val="Sangra3detindependiente"/>
        <w:ind w:left="420" w:firstLine="0"/>
        <w:rPr>
          <w:rFonts w:ascii="Arial" w:hAnsi="Arial" w:cs="Arial"/>
          <w:color w:val="FF0000"/>
          <w:sz w:val="20"/>
          <w:szCs w:val="20"/>
        </w:rPr>
      </w:pPr>
    </w:p>
    <w:p w:rsidR="00644907" w:rsidRPr="00483C1A" w:rsidRDefault="00644907" w:rsidP="00483C1A">
      <w:pPr>
        <w:pStyle w:val="Sangra3detindependiente"/>
        <w:numPr>
          <w:ilvl w:val="0"/>
          <w:numId w:val="10"/>
        </w:numPr>
        <w:tabs>
          <w:tab w:val="clear" w:pos="792"/>
          <w:tab w:val="num" w:pos="360"/>
        </w:tabs>
        <w:ind w:left="360"/>
        <w:rPr>
          <w:rFonts w:ascii="Arial" w:hAnsi="Arial" w:cs="Arial"/>
          <w:sz w:val="20"/>
          <w:szCs w:val="20"/>
        </w:rPr>
      </w:pPr>
      <w:r w:rsidRPr="00483C1A">
        <w:rPr>
          <w:rFonts w:ascii="Arial" w:hAnsi="Arial" w:cs="Arial"/>
          <w:sz w:val="20"/>
          <w:szCs w:val="20"/>
        </w:rPr>
        <w:t>Por último, el capítulo de ingresos por transferencias corrientes se completa con las aportaciones de Ayuntamientos, para coadyuvar a los gastos de prestación de servicios de transportes, así como la aportación del Ayuntamiento de Santa Cruz de Tenerife para el mantenimiento de la biblioteca sita en TEA, según convenio firmado.</w:t>
      </w:r>
    </w:p>
    <w:p w:rsidR="00644907" w:rsidRPr="00483C1A" w:rsidRDefault="00644907" w:rsidP="00483C1A">
      <w:pPr>
        <w:pStyle w:val="Sangra3detindependiente"/>
        <w:ind w:left="360" w:firstLine="0"/>
        <w:rPr>
          <w:rFonts w:ascii="Arial" w:hAnsi="Arial" w:cs="Arial"/>
          <w:sz w:val="20"/>
          <w:szCs w:val="20"/>
        </w:rPr>
      </w:pPr>
      <w:r w:rsidRPr="00483C1A">
        <w:rPr>
          <w:rFonts w:ascii="Arial" w:hAnsi="Arial" w:cs="Arial"/>
          <w:sz w:val="20"/>
          <w:szCs w:val="20"/>
        </w:rPr>
        <w:t>Se recoge también la previsión de ingresos del FEDER para cofinanciar determinados gastos de proyectos que han sido seleccionados en el marco de convocatorias europeas para la asignación de ayudas.</w:t>
      </w:r>
    </w:p>
    <w:p w:rsidR="00644907" w:rsidRPr="00D26146" w:rsidRDefault="00644907" w:rsidP="00EA12B4">
      <w:pPr>
        <w:pStyle w:val="Ttulo5"/>
        <w:ind w:left="420"/>
        <w:rPr>
          <w:rFonts w:ascii="Arial" w:hAnsi="Arial" w:cs="Arial"/>
          <w:color w:val="FF0000"/>
          <w:sz w:val="20"/>
          <w:szCs w:val="20"/>
          <w:u w:val="single"/>
        </w:rPr>
      </w:pPr>
    </w:p>
    <w:p w:rsidR="00644907" w:rsidRPr="00D26146" w:rsidRDefault="00644907" w:rsidP="00B7148A">
      <w:pPr>
        <w:rPr>
          <w:rFonts w:ascii="Arial" w:hAnsi="Arial" w:cs="Arial"/>
          <w:color w:val="FF0000"/>
          <w:sz w:val="20"/>
          <w:szCs w:val="20"/>
        </w:rPr>
      </w:pPr>
    </w:p>
    <w:p w:rsidR="00644907" w:rsidRPr="00EB2CA1" w:rsidRDefault="00644907" w:rsidP="00716E04">
      <w:pPr>
        <w:pStyle w:val="Ttulo5"/>
        <w:rPr>
          <w:rFonts w:ascii="Arial" w:hAnsi="Arial" w:cs="Arial"/>
          <w:sz w:val="20"/>
          <w:szCs w:val="20"/>
          <w:u w:val="single"/>
        </w:rPr>
      </w:pPr>
      <w:r w:rsidRPr="00EB2CA1">
        <w:rPr>
          <w:rFonts w:ascii="Arial" w:hAnsi="Arial" w:cs="Arial"/>
          <w:sz w:val="20"/>
          <w:szCs w:val="20"/>
          <w:u w:val="single"/>
        </w:rPr>
        <w:t>V. Ingresos Patrimoniales.</w:t>
      </w:r>
    </w:p>
    <w:p w:rsidR="00644907" w:rsidRPr="00D26146" w:rsidRDefault="00644907" w:rsidP="00C53050">
      <w:pPr>
        <w:rPr>
          <w:rFonts w:ascii="Arial" w:hAnsi="Arial" w:cs="Arial"/>
          <w:color w:val="FF0000"/>
          <w:sz w:val="20"/>
          <w:szCs w:val="20"/>
        </w:rPr>
      </w:pPr>
    </w:p>
    <w:p w:rsidR="00644907" w:rsidRPr="002E10CB" w:rsidRDefault="00644907" w:rsidP="00716E04">
      <w:pPr>
        <w:spacing w:line="360" w:lineRule="auto"/>
        <w:jc w:val="both"/>
        <w:rPr>
          <w:rFonts w:ascii="Arial" w:hAnsi="Arial" w:cs="Arial"/>
          <w:sz w:val="20"/>
          <w:szCs w:val="20"/>
        </w:rPr>
      </w:pPr>
      <w:r w:rsidRPr="002E10CB">
        <w:rPr>
          <w:rFonts w:ascii="Arial" w:hAnsi="Arial" w:cs="Arial"/>
          <w:sz w:val="20"/>
          <w:szCs w:val="20"/>
        </w:rPr>
        <w:t xml:space="preserve">El capítulo de Ingresos Patrimoniales representa el 0,3% del total de las previsiones de ingresos para el año 2019, con una cuantía total de </w:t>
      </w:r>
      <w:r w:rsidRPr="002E10CB">
        <w:rPr>
          <w:rFonts w:ascii="Arial" w:hAnsi="Arial" w:cs="Arial"/>
          <w:b/>
          <w:bCs/>
          <w:sz w:val="20"/>
          <w:szCs w:val="20"/>
        </w:rPr>
        <w:t>2,6 M €</w:t>
      </w:r>
      <w:r w:rsidRPr="002E10CB">
        <w:rPr>
          <w:rFonts w:ascii="Arial" w:hAnsi="Arial" w:cs="Arial"/>
          <w:sz w:val="20"/>
          <w:szCs w:val="20"/>
        </w:rPr>
        <w:t xml:space="preserve">. </w:t>
      </w:r>
    </w:p>
    <w:p w:rsidR="00644907" w:rsidRPr="002E10CB" w:rsidRDefault="00644907" w:rsidP="00716E04">
      <w:pPr>
        <w:spacing w:line="360" w:lineRule="auto"/>
        <w:jc w:val="both"/>
        <w:rPr>
          <w:rFonts w:ascii="Arial" w:hAnsi="Arial" w:cs="Arial"/>
          <w:sz w:val="20"/>
          <w:szCs w:val="20"/>
        </w:rPr>
      </w:pPr>
    </w:p>
    <w:p w:rsidR="00644907" w:rsidRPr="002E10CB" w:rsidRDefault="00644907" w:rsidP="00716E04">
      <w:pPr>
        <w:spacing w:line="360" w:lineRule="auto"/>
        <w:jc w:val="both"/>
        <w:rPr>
          <w:rFonts w:ascii="Arial" w:hAnsi="Arial" w:cs="Arial"/>
          <w:sz w:val="20"/>
          <w:szCs w:val="20"/>
        </w:rPr>
      </w:pPr>
      <w:r w:rsidRPr="002E10CB">
        <w:rPr>
          <w:rFonts w:ascii="Arial" w:hAnsi="Arial" w:cs="Arial"/>
          <w:sz w:val="20"/>
          <w:szCs w:val="20"/>
        </w:rPr>
        <w:lastRenderedPageBreak/>
        <w:t>Las previsiones de ingresos en este capítulo se incrementan en 0,8 M €, como resultado de las siguientes diferencias en relación al presupuesto anterior:</w:t>
      </w:r>
    </w:p>
    <w:p w:rsidR="00644907" w:rsidRPr="00D26146" w:rsidRDefault="00644907" w:rsidP="00716E04">
      <w:pPr>
        <w:spacing w:line="360" w:lineRule="auto"/>
        <w:jc w:val="both"/>
        <w:rPr>
          <w:rFonts w:ascii="Arial" w:hAnsi="Arial" w:cs="Arial"/>
          <w:color w:val="FF0000"/>
          <w:sz w:val="20"/>
          <w:szCs w:val="20"/>
        </w:rPr>
      </w:pPr>
    </w:p>
    <w:p w:rsidR="00644907" w:rsidRPr="002E10CB" w:rsidRDefault="00644907" w:rsidP="00141796">
      <w:pPr>
        <w:numPr>
          <w:ilvl w:val="0"/>
          <w:numId w:val="14"/>
        </w:numPr>
        <w:spacing w:line="360" w:lineRule="auto"/>
        <w:jc w:val="both"/>
        <w:rPr>
          <w:rFonts w:ascii="Arial" w:hAnsi="Arial" w:cs="Arial"/>
          <w:sz w:val="20"/>
          <w:szCs w:val="20"/>
        </w:rPr>
      </w:pPr>
      <w:r w:rsidRPr="002E10CB">
        <w:rPr>
          <w:rFonts w:ascii="Arial" w:hAnsi="Arial" w:cs="Arial"/>
          <w:sz w:val="20"/>
          <w:szCs w:val="20"/>
        </w:rPr>
        <w:t xml:space="preserve">No se contemplan dividendos, ni hay previsión de ingresos procedentes del Polígono Industrial Valle de </w:t>
      </w:r>
      <w:proofErr w:type="spellStart"/>
      <w:r w:rsidRPr="002E10CB">
        <w:rPr>
          <w:rFonts w:ascii="Arial" w:hAnsi="Arial" w:cs="Arial"/>
          <w:sz w:val="20"/>
          <w:szCs w:val="20"/>
        </w:rPr>
        <w:t>Güímar</w:t>
      </w:r>
      <w:proofErr w:type="spellEnd"/>
      <w:r w:rsidRPr="002E10CB">
        <w:rPr>
          <w:rFonts w:ascii="Arial" w:hAnsi="Arial" w:cs="Arial"/>
          <w:sz w:val="20"/>
          <w:szCs w:val="20"/>
        </w:rPr>
        <w:t>,  tratándose de ingresos de carácter extraordinario que se estimaron en el presupuesto para 2018.</w:t>
      </w:r>
    </w:p>
    <w:p w:rsidR="00644907" w:rsidRPr="00D26146" w:rsidRDefault="00644907" w:rsidP="00141796">
      <w:pPr>
        <w:pStyle w:val="Prrafodelista"/>
        <w:rPr>
          <w:rFonts w:ascii="Arial" w:hAnsi="Arial" w:cs="Arial"/>
          <w:color w:val="FF0000"/>
          <w:sz w:val="20"/>
          <w:szCs w:val="20"/>
        </w:rPr>
      </w:pPr>
    </w:p>
    <w:p w:rsidR="00644907" w:rsidRPr="00C634A6" w:rsidRDefault="00644907" w:rsidP="00C83092">
      <w:pPr>
        <w:numPr>
          <w:ilvl w:val="0"/>
          <w:numId w:val="14"/>
        </w:numPr>
        <w:spacing w:line="360" w:lineRule="auto"/>
        <w:jc w:val="both"/>
        <w:rPr>
          <w:rFonts w:ascii="Arial" w:hAnsi="Arial" w:cs="Arial"/>
          <w:sz w:val="20"/>
          <w:szCs w:val="20"/>
        </w:rPr>
      </w:pPr>
      <w:r w:rsidRPr="00C634A6">
        <w:rPr>
          <w:rFonts w:ascii="Arial" w:hAnsi="Arial" w:cs="Arial"/>
          <w:sz w:val="20"/>
          <w:szCs w:val="20"/>
        </w:rPr>
        <w:t xml:space="preserve">Se incluye la renta anual a percibir en virtud de la subrogación del Cabildo, con fecha 6 de julio de 2018, en la posición de arrendador de la nave industrial 17Q de la manzana XV del  Polígono Industrial Valle de </w:t>
      </w:r>
      <w:proofErr w:type="spellStart"/>
      <w:r w:rsidRPr="00C634A6">
        <w:rPr>
          <w:rFonts w:ascii="Arial" w:hAnsi="Arial" w:cs="Arial"/>
          <w:sz w:val="20"/>
          <w:szCs w:val="20"/>
        </w:rPr>
        <w:t>Güímar</w:t>
      </w:r>
      <w:proofErr w:type="spellEnd"/>
      <w:r w:rsidRPr="00C634A6">
        <w:rPr>
          <w:rFonts w:ascii="Arial" w:hAnsi="Arial" w:cs="Arial"/>
          <w:sz w:val="20"/>
          <w:szCs w:val="20"/>
        </w:rPr>
        <w:t>.</w:t>
      </w:r>
    </w:p>
    <w:p w:rsidR="00644907" w:rsidRPr="00D26146" w:rsidRDefault="00644907" w:rsidP="00141796">
      <w:pPr>
        <w:pStyle w:val="Prrafodelista"/>
        <w:rPr>
          <w:rFonts w:ascii="Arial" w:hAnsi="Arial" w:cs="Arial"/>
          <w:color w:val="FF0000"/>
          <w:sz w:val="20"/>
          <w:szCs w:val="20"/>
        </w:rPr>
      </w:pPr>
    </w:p>
    <w:p w:rsidR="00644907" w:rsidRPr="00040A9A" w:rsidRDefault="00644907" w:rsidP="00141796">
      <w:pPr>
        <w:numPr>
          <w:ilvl w:val="0"/>
          <w:numId w:val="14"/>
        </w:numPr>
        <w:spacing w:line="360" w:lineRule="auto"/>
        <w:jc w:val="both"/>
        <w:rPr>
          <w:rFonts w:ascii="Arial" w:hAnsi="Arial" w:cs="Arial"/>
          <w:sz w:val="20"/>
          <w:szCs w:val="20"/>
        </w:rPr>
      </w:pPr>
      <w:r w:rsidRPr="00040A9A">
        <w:rPr>
          <w:rFonts w:ascii="Arial" w:hAnsi="Arial" w:cs="Arial"/>
          <w:sz w:val="20"/>
          <w:szCs w:val="20"/>
        </w:rPr>
        <w:t xml:space="preserve">Se prevén 2,1 M € en concepto de arrendamiento del Hotel </w:t>
      </w:r>
      <w:proofErr w:type="spellStart"/>
      <w:r w:rsidRPr="00040A9A">
        <w:rPr>
          <w:rFonts w:ascii="Arial" w:hAnsi="Arial" w:cs="Arial"/>
          <w:sz w:val="20"/>
          <w:szCs w:val="20"/>
        </w:rPr>
        <w:t>Mencey</w:t>
      </w:r>
      <w:proofErr w:type="spellEnd"/>
      <w:r w:rsidRPr="00040A9A">
        <w:rPr>
          <w:rFonts w:ascii="Arial" w:hAnsi="Arial" w:cs="Arial"/>
          <w:sz w:val="20"/>
          <w:szCs w:val="20"/>
        </w:rPr>
        <w:t xml:space="preserve">, reanudándose el devengo anual del canon, que había sido interrumpido durante los años 2014 a 2018, por acuerdo del Consejo de Gobierno Insular adoptado el 3 de diciembre de 2013. Tal como se contempla en el punto octavo de dicho acuerdo, el canon de arrendamiento a devengar en 2019 será compensado con 0,7 M € de indemnización reconocida al arrendatario, y el resto contra gastos de inversión en el Hotel conforme a lo determinado en el contrato de arrendamiento suscrito, para los cuales se ha previsto crédito en el presupuesto de gastos para 2019. </w:t>
      </w:r>
    </w:p>
    <w:p w:rsidR="00644907" w:rsidRPr="00040A9A" w:rsidRDefault="00644907" w:rsidP="00716E04">
      <w:pPr>
        <w:spacing w:line="360" w:lineRule="auto"/>
        <w:jc w:val="both"/>
        <w:rPr>
          <w:rFonts w:ascii="Arial" w:hAnsi="Arial" w:cs="Arial"/>
          <w:sz w:val="20"/>
          <w:szCs w:val="20"/>
        </w:rPr>
      </w:pPr>
    </w:p>
    <w:p w:rsidR="00644907" w:rsidRPr="00040A9A" w:rsidRDefault="00644907" w:rsidP="00716E04">
      <w:pPr>
        <w:spacing w:line="360" w:lineRule="auto"/>
        <w:jc w:val="both"/>
        <w:rPr>
          <w:rFonts w:ascii="Arial" w:hAnsi="Arial" w:cs="Arial"/>
          <w:sz w:val="20"/>
          <w:szCs w:val="20"/>
        </w:rPr>
      </w:pPr>
      <w:r w:rsidRPr="00040A9A">
        <w:rPr>
          <w:rFonts w:ascii="Arial" w:hAnsi="Arial" w:cs="Arial"/>
          <w:sz w:val="20"/>
          <w:szCs w:val="20"/>
        </w:rPr>
        <w:t xml:space="preserve">El resto de previsiones se han mantenido, y en su caso actualizado, en aplicación de los contratos vigentes. </w:t>
      </w:r>
    </w:p>
    <w:p w:rsidR="00644907" w:rsidRPr="00D26146" w:rsidRDefault="00644907" w:rsidP="003A06A5">
      <w:pPr>
        <w:rPr>
          <w:rFonts w:ascii="Arial" w:hAnsi="Arial" w:cs="Arial"/>
          <w:color w:val="FF0000"/>
          <w:sz w:val="20"/>
          <w:szCs w:val="20"/>
        </w:rPr>
      </w:pPr>
    </w:p>
    <w:p w:rsidR="00644907" w:rsidRPr="00D26146" w:rsidRDefault="00644907" w:rsidP="003A06A5">
      <w:pPr>
        <w:rPr>
          <w:rFonts w:ascii="Arial" w:hAnsi="Arial" w:cs="Arial"/>
          <w:color w:val="FF0000"/>
          <w:sz w:val="20"/>
          <w:szCs w:val="20"/>
        </w:rPr>
      </w:pPr>
    </w:p>
    <w:p w:rsidR="00644907" w:rsidRPr="00623729" w:rsidRDefault="00644907" w:rsidP="00821B85">
      <w:pPr>
        <w:pStyle w:val="Ttulo5"/>
        <w:rPr>
          <w:rFonts w:ascii="Arial" w:hAnsi="Arial" w:cs="Arial"/>
          <w:sz w:val="20"/>
          <w:szCs w:val="20"/>
          <w:u w:val="single"/>
        </w:rPr>
      </w:pPr>
      <w:r w:rsidRPr="00623729">
        <w:rPr>
          <w:rFonts w:ascii="Arial" w:hAnsi="Arial" w:cs="Arial"/>
          <w:sz w:val="20"/>
          <w:szCs w:val="20"/>
          <w:u w:val="single"/>
        </w:rPr>
        <w:t>VI. Enajenación de Inversiones Reales.</w:t>
      </w:r>
    </w:p>
    <w:p w:rsidR="00644907" w:rsidRPr="00623729" w:rsidRDefault="00644907" w:rsidP="00A46E6F">
      <w:pPr>
        <w:spacing w:line="360" w:lineRule="auto"/>
        <w:jc w:val="both"/>
        <w:rPr>
          <w:rFonts w:ascii="Arial" w:hAnsi="Arial" w:cs="Arial"/>
          <w:sz w:val="20"/>
          <w:szCs w:val="20"/>
        </w:rPr>
      </w:pPr>
    </w:p>
    <w:p w:rsidR="00644907" w:rsidRPr="00623729" w:rsidRDefault="00644907" w:rsidP="00A46E6F">
      <w:pPr>
        <w:spacing w:line="360" w:lineRule="auto"/>
        <w:jc w:val="both"/>
        <w:rPr>
          <w:rFonts w:ascii="Arial" w:hAnsi="Arial" w:cs="Arial"/>
          <w:sz w:val="20"/>
          <w:szCs w:val="20"/>
        </w:rPr>
      </w:pPr>
      <w:r w:rsidRPr="00623729">
        <w:rPr>
          <w:rFonts w:ascii="Arial" w:hAnsi="Arial" w:cs="Arial"/>
          <w:sz w:val="20"/>
          <w:szCs w:val="20"/>
        </w:rPr>
        <w:t xml:space="preserve">No se prevén ingresos dentro de este capítulo. </w:t>
      </w:r>
    </w:p>
    <w:p w:rsidR="00644907" w:rsidRPr="00D26146" w:rsidRDefault="00644907" w:rsidP="00A46E6F">
      <w:pPr>
        <w:spacing w:line="360" w:lineRule="auto"/>
        <w:jc w:val="both"/>
        <w:rPr>
          <w:rFonts w:ascii="Arial" w:hAnsi="Arial" w:cs="Arial"/>
          <w:color w:val="FF0000"/>
          <w:sz w:val="20"/>
          <w:szCs w:val="20"/>
        </w:rPr>
      </w:pPr>
    </w:p>
    <w:p w:rsidR="00644907" w:rsidRPr="00F84390" w:rsidRDefault="00644907" w:rsidP="00716E04">
      <w:pPr>
        <w:pStyle w:val="Ttulo5"/>
        <w:rPr>
          <w:rFonts w:ascii="Arial" w:hAnsi="Arial" w:cs="Arial"/>
          <w:sz w:val="20"/>
          <w:szCs w:val="20"/>
          <w:u w:val="single"/>
        </w:rPr>
      </w:pPr>
      <w:r w:rsidRPr="00F84390">
        <w:rPr>
          <w:rFonts w:ascii="Arial" w:hAnsi="Arial" w:cs="Arial"/>
          <w:sz w:val="20"/>
          <w:szCs w:val="20"/>
          <w:u w:val="single"/>
        </w:rPr>
        <w:t>VII. Transferencias de Capital.</w:t>
      </w:r>
    </w:p>
    <w:p w:rsidR="00644907" w:rsidRPr="00F84390" w:rsidRDefault="00644907" w:rsidP="00155AC8">
      <w:pPr>
        <w:rPr>
          <w:rFonts w:ascii="Arial" w:hAnsi="Arial" w:cs="Arial"/>
          <w:sz w:val="20"/>
          <w:szCs w:val="20"/>
        </w:rPr>
      </w:pPr>
    </w:p>
    <w:p w:rsidR="00644907" w:rsidRPr="00F84390" w:rsidRDefault="00644907" w:rsidP="00716E04">
      <w:pPr>
        <w:pStyle w:val="Textoindependiente3"/>
        <w:rPr>
          <w:rFonts w:ascii="Arial" w:hAnsi="Arial" w:cs="Arial"/>
          <w:sz w:val="20"/>
          <w:szCs w:val="20"/>
        </w:rPr>
      </w:pPr>
      <w:r w:rsidRPr="00F84390">
        <w:rPr>
          <w:rFonts w:ascii="Arial" w:hAnsi="Arial" w:cs="Arial"/>
          <w:sz w:val="20"/>
          <w:szCs w:val="20"/>
        </w:rPr>
        <w:t xml:space="preserve">El capítulo de ingresos por Transferencias de capital experimenta un significativo incremento, pasando de 56,1 M € en 2018 a </w:t>
      </w:r>
      <w:r w:rsidRPr="00F84390">
        <w:rPr>
          <w:rFonts w:ascii="Arial" w:hAnsi="Arial" w:cs="Arial"/>
          <w:b/>
          <w:bCs/>
          <w:sz w:val="20"/>
          <w:szCs w:val="20"/>
        </w:rPr>
        <w:t>70,</w:t>
      </w:r>
      <w:r w:rsidR="00C459A0">
        <w:rPr>
          <w:rFonts w:ascii="Arial" w:hAnsi="Arial" w:cs="Arial"/>
          <w:b/>
          <w:bCs/>
          <w:sz w:val="20"/>
          <w:szCs w:val="20"/>
        </w:rPr>
        <w:t>3</w:t>
      </w:r>
      <w:r w:rsidRPr="00F84390">
        <w:rPr>
          <w:rFonts w:ascii="Arial" w:hAnsi="Arial" w:cs="Arial"/>
          <w:b/>
          <w:bCs/>
          <w:sz w:val="20"/>
          <w:szCs w:val="20"/>
        </w:rPr>
        <w:t xml:space="preserve"> M €</w:t>
      </w:r>
      <w:r w:rsidRPr="00F84390">
        <w:rPr>
          <w:rFonts w:ascii="Arial" w:hAnsi="Arial" w:cs="Arial"/>
          <w:sz w:val="20"/>
          <w:szCs w:val="20"/>
        </w:rPr>
        <w:t xml:space="preserve"> en 2019, afectadas a la realización de proyectos de gastos a excepción de 10,0 M € provenientes del Servicio Canario de Salud. Su peso sobre el total de ingresos presupuestados se sitúa en el 7,9%.</w:t>
      </w:r>
    </w:p>
    <w:p w:rsidR="00644907" w:rsidRPr="00D26146" w:rsidRDefault="00644907" w:rsidP="00B3060E">
      <w:pPr>
        <w:pStyle w:val="Sangra3detindependiente"/>
        <w:ind w:firstLine="0"/>
        <w:rPr>
          <w:rFonts w:ascii="Arial" w:hAnsi="Arial" w:cs="Arial"/>
          <w:color w:val="FF0000"/>
          <w:sz w:val="20"/>
          <w:szCs w:val="20"/>
        </w:rPr>
      </w:pPr>
    </w:p>
    <w:p w:rsidR="00644907" w:rsidRPr="00F84390" w:rsidRDefault="00644907" w:rsidP="00716E04">
      <w:pPr>
        <w:pStyle w:val="Textoindependiente3"/>
        <w:rPr>
          <w:rFonts w:ascii="Arial" w:hAnsi="Arial" w:cs="Arial"/>
          <w:sz w:val="20"/>
          <w:szCs w:val="20"/>
        </w:rPr>
      </w:pPr>
      <w:r w:rsidRPr="00F84390">
        <w:rPr>
          <w:rFonts w:ascii="Arial" w:hAnsi="Arial" w:cs="Arial"/>
          <w:sz w:val="20"/>
          <w:szCs w:val="20"/>
        </w:rPr>
        <w:t>La composición de este capítulo se presenta a continuación:</w:t>
      </w:r>
    </w:p>
    <w:p w:rsidR="00644907" w:rsidRPr="00D26146" w:rsidRDefault="00644907" w:rsidP="00716E04">
      <w:pPr>
        <w:pStyle w:val="Textoindependiente3"/>
        <w:rPr>
          <w:rFonts w:ascii="Arial" w:hAnsi="Arial" w:cs="Arial"/>
          <w:color w:val="FF0000"/>
          <w:sz w:val="20"/>
          <w:szCs w:val="20"/>
        </w:rPr>
      </w:pPr>
    </w:p>
    <w:p w:rsidR="00644907" w:rsidRPr="00D26146" w:rsidRDefault="00C459A0" w:rsidP="00716E04">
      <w:pPr>
        <w:pStyle w:val="Textoindependiente3"/>
        <w:rPr>
          <w:rFonts w:ascii="Arial" w:hAnsi="Arial" w:cs="Arial"/>
          <w:color w:val="FF0000"/>
          <w:sz w:val="20"/>
          <w:szCs w:val="20"/>
        </w:rPr>
      </w:pPr>
      <w:r w:rsidRPr="00C459A0">
        <w:lastRenderedPageBreak/>
        <w:drawing>
          <wp:inline distT="0" distB="0" distL="0" distR="0" wp14:anchorId="2CD5FF7D" wp14:editId="28B7381A">
            <wp:extent cx="5400040" cy="174131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741314"/>
                    </a:xfrm>
                    <a:prstGeom prst="rect">
                      <a:avLst/>
                    </a:prstGeom>
                    <a:noFill/>
                    <a:ln>
                      <a:noFill/>
                    </a:ln>
                  </pic:spPr>
                </pic:pic>
              </a:graphicData>
            </a:graphic>
          </wp:inline>
        </w:drawing>
      </w:r>
    </w:p>
    <w:p w:rsidR="00644907" w:rsidRPr="00D26146" w:rsidRDefault="00644907" w:rsidP="00716E04">
      <w:pPr>
        <w:jc w:val="center"/>
        <w:rPr>
          <w:rFonts w:ascii="Arial" w:hAnsi="Arial" w:cs="Arial"/>
          <w:color w:val="FF0000"/>
          <w:sz w:val="20"/>
          <w:szCs w:val="20"/>
        </w:rPr>
      </w:pPr>
    </w:p>
    <w:p w:rsidR="00644907" w:rsidRPr="00D26146" w:rsidRDefault="00644907" w:rsidP="00716E04">
      <w:pPr>
        <w:spacing w:line="360" w:lineRule="auto"/>
        <w:jc w:val="both"/>
        <w:rPr>
          <w:rFonts w:ascii="Arial" w:hAnsi="Arial" w:cs="Arial"/>
          <w:color w:val="FF0000"/>
          <w:sz w:val="20"/>
          <w:szCs w:val="20"/>
        </w:rPr>
      </w:pPr>
    </w:p>
    <w:p w:rsidR="00644907" w:rsidRPr="00B378C4" w:rsidRDefault="00644907" w:rsidP="002A20E6">
      <w:pPr>
        <w:spacing w:line="360" w:lineRule="auto"/>
        <w:jc w:val="both"/>
        <w:rPr>
          <w:rFonts w:ascii="Arial" w:hAnsi="Arial" w:cs="Arial"/>
          <w:sz w:val="20"/>
          <w:szCs w:val="20"/>
        </w:rPr>
      </w:pPr>
      <w:r w:rsidRPr="003D2096">
        <w:rPr>
          <w:rFonts w:ascii="Arial" w:hAnsi="Arial" w:cs="Arial"/>
          <w:sz w:val="20"/>
          <w:szCs w:val="20"/>
        </w:rPr>
        <w:t>Los recursos procedentes del FDCAN continúan siendo los de mayor importancia cuantitativa dentro de este capítulo de ingresos, representando el 5</w:t>
      </w:r>
      <w:r w:rsidR="00C459A0">
        <w:rPr>
          <w:rFonts w:ascii="Arial" w:hAnsi="Arial" w:cs="Arial"/>
          <w:sz w:val="20"/>
          <w:szCs w:val="20"/>
        </w:rPr>
        <w:t>3</w:t>
      </w:r>
      <w:r w:rsidRPr="003D2096">
        <w:rPr>
          <w:rFonts w:ascii="Arial" w:hAnsi="Arial" w:cs="Arial"/>
          <w:sz w:val="20"/>
          <w:szCs w:val="20"/>
        </w:rPr>
        <w:t>,</w:t>
      </w:r>
      <w:r w:rsidR="00C459A0">
        <w:rPr>
          <w:rFonts w:ascii="Arial" w:hAnsi="Arial" w:cs="Arial"/>
          <w:sz w:val="20"/>
          <w:szCs w:val="20"/>
        </w:rPr>
        <w:t>9</w:t>
      </w:r>
      <w:r w:rsidRPr="003D2096">
        <w:rPr>
          <w:rFonts w:ascii="Arial" w:hAnsi="Arial" w:cs="Arial"/>
          <w:sz w:val="20"/>
          <w:szCs w:val="20"/>
        </w:rPr>
        <w:t>% del mismo.</w:t>
      </w:r>
      <w:r>
        <w:rPr>
          <w:rFonts w:ascii="Arial" w:hAnsi="Arial" w:cs="Arial"/>
          <w:sz w:val="20"/>
          <w:szCs w:val="20"/>
        </w:rPr>
        <w:t xml:space="preserve"> </w:t>
      </w:r>
      <w:r w:rsidRPr="00B378C4">
        <w:rPr>
          <w:rFonts w:ascii="Arial" w:hAnsi="Arial" w:cs="Arial"/>
          <w:sz w:val="20"/>
          <w:szCs w:val="20"/>
        </w:rPr>
        <w:t>Los fondos a percibir con cargo al FDCAN se reflejan como ingresos corrientes o de capital en atención a la naturaleza de los gastos que se han presupuestado en 201</w:t>
      </w:r>
      <w:r>
        <w:rPr>
          <w:rFonts w:ascii="Arial" w:hAnsi="Arial" w:cs="Arial"/>
          <w:sz w:val="20"/>
          <w:szCs w:val="20"/>
        </w:rPr>
        <w:t>9</w:t>
      </w:r>
      <w:r w:rsidRPr="00B378C4">
        <w:rPr>
          <w:rFonts w:ascii="Arial" w:hAnsi="Arial" w:cs="Arial"/>
          <w:sz w:val="20"/>
          <w:szCs w:val="20"/>
        </w:rPr>
        <w:t xml:space="preserve"> y que se estima tienen mayor probabilidad de que puedan justificarse al FDCAN.  </w:t>
      </w:r>
    </w:p>
    <w:p w:rsidR="00644907" w:rsidRPr="00D26146" w:rsidRDefault="00644907" w:rsidP="00716E04">
      <w:pPr>
        <w:spacing w:line="360" w:lineRule="auto"/>
        <w:jc w:val="both"/>
        <w:rPr>
          <w:rFonts w:ascii="Arial" w:hAnsi="Arial" w:cs="Arial"/>
          <w:color w:val="FF0000"/>
          <w:sz w:val="20"/>
          <w:szCs w:val="20"/>
        </w:rPr>
      </w:pPr>
    </w:p>
    <w:p w:rsidR="00644907" w:rsidRDefault="00644907" w:rsidP="00585F42">
      <w:pPr>
        <w:spacing w:line="360" w:lineRule="auto"/>
        <w:jc w:val="both"/>
        <w:rPr>
          <w:rFonts w:ascii="Arial" w:hAnsi="Arial" w:cs="Arial"/>
          <w:sz w:val="20"/>
          <w:szCs w:val="20"/>
        </w:rPr>
      </w:pPr>
      <w:r w:rsidRPr="002A20E6">
        <w:rPr>
          <w:rFonts w:ascii="Arial" w:hAnsi="Arial" w:cs="Arial"/>
          <w:sz w:val="20"/>
          <w:szCs w:val="20"/>
        </w:rPr>
        <w:t>El resto de transferencias de capital aumentan en 13,</w:t>
      </w:r>
      <w:r w:rsidR="00C459A0">
        <w:rPr>
          <w:rFonts w:ascii="Arial" w:hAnsi="Arial" w:cs="Arial"/>
          <w:sz w:val="20"/>
          <w:szCs w:val="20"/>
        </w:rPr>
        <w:t>6</w:t>
      </w:r>
      <w:r w:rsidRPr="002A20E6">
        <w:rPr>
          <w:rFonts w:ascii="Arial" w:hAnsi="Arial" w:cs="Arial"/>
          <w:sz w:val="20"/>
          <w:szCs w:val="20"/>
        </w:rPr>
        <w:t xml:space="preserve"> M €, destacando:</w:t>
      </w:r>
    </w:p>
    <w:p w:rsidR="00644907" w:rsidRDefault="00644907" w:rsidP="00585F42">
      <w:pPr>
        <w:spacing w:line="360" w:lineRule="auto"/>
        <w:jc w:val="both"/>
        <w:rPr>
          <w:rFonts w:ascii="Arial" w:hAnsi="Arial" w:cs="Arial"/>
          <w:sz w:val="20"/>
          <w:szCs w:val="20"/>
        </w:rPr>
      </w:pPr>
    </w:p>
    <w:p w:rsidR="00644907" w:rsidRPr="00C978E8" w:rsidRDefault="00644907" w:rsidP="005E1E76">
      <w:pPr>
        <w:numPr>
          <w:ilvl w:val="0"/>
          <w:numId w:val="6"/>
        </w:numPr>
        <w:tabs>
          <w:tab w:val="clear" w:pos="720"/>
          <w:tab w:val="num" w:pos="392"/>
        </w:tabs>
        <w:spacing w:line="360" w:lineRule="auto"/>
        <w:ind w:left="392" w:hanging="364"/>
        <w:jc w:val="both"/>
        <w:rPr>
          <w:rFonts w:ascii="Arial" w:hAnsi="Arial" w:cs="Arial"/>
          <w:sz w:val="20"/>
          <w:szCs w:val="20"/>
        </w:rPr>
      </w:pPr>
      <w:r>
        <w:rPr>
          <w:rFonts w:ascii="Arial" w:hAnsi="Arial" w:cs="Arial"/>
          <w:sz w:val="20"/>
          <w:szCs w:val="20"/>
        </w:rPr>
        <w:t xml:space="preserve">Se contemplan 10,0 M € procedentes del Servicio Canario de Salud para la liquidación de las aportaciones económicas derivadas de la financiación del convenio de colaboración formalizado el 23 de diciembre de 2002, para la construcción, entre otros, del Complejo Hospitalario y </w:t>
      </w:r>
      <w:proofErr w:type="spellStart"/>
      <w:r>
        <w:rPr>
          <w:rFonts w:ascii="Arial" w:hAnsi="Arial" w:cs="Arial"/>
          <w:sz w:val="20"/>
          <w:szCs w:val="20"/>
        </w:rPr>
        <w:t>Sociosanitario</w:t>
      </w:r>
      <w:proofErr w:type="spellEnd"/>
      <w:r>
        <w:rPr>
          <w:rFonts w:ascii="Arial" w:hAnsi="Arial" w:cs="Arial"/>
          <w:sz w:val="20"/>
          <w:szCs w:val="20"/>
        </w:rPr>
        <w:t xml:space="preserve"> de la zona sur de la isla de Tenerife, conforme a los usos finales que se le asignen a cada interviniente. Según consta en el informe del Director del SCS de 2 de noviembre de 2018, existe dotación en 2018 por 5,0 M € para tal fin, estimándose la aprobación del convenio para la liquidación antedicha antes del fin de 2018 y la percepción de dicho importe por el Cabildo a comienzos de 2019.  Asimismo, se ha previsto crédito en el Proyecto de Presupuestos de la Comunidad Autónoma para 2019 de otros 5,0 M € para cubrir la segunda anualidad del convenio que se formalice, según lo tratado en la Comisión de Seguimiento celebrada el pasado 5 de septiembre. Así, las dotaciones previstas en ambos ejercicios suman 10,0 M €, que resarcen al Cabildo </w:t>
      </w:r>
      <w:r w:rsidRPr="00C978E8">
        <w:rPr>
          <w:rFonts w:ascii="Arial" w:hAnsi="Arial" w:cs="Arial"/>
          <w:sz w:val="20"/>
          <w:szCs w:val="20"/>
        </w:rPr>
        <w:t>de las actuaciones ya realizadas en el Hospital del Sur (CAE).</w:t>
      </w:r>
    </w:p>
    <w:p w:rsidR="00644907" w:rsidRPr="00D26146" w:rsidRDefault="00644907" w:rsidP="00585F42">
      <w:pPr>
        <w:spacing w:line="360" w:lineRule="auto"/>
        <w:jc w:val="both"/>
        <w:rPr>
          <w:rFonts w:ascii="Arial" w:hAnsi="Arial" w:cs="Arial"/>
          <w:color w:val="FF0000"/>
          <w:sz w:val="20"/>
          <w:szCs w:val="20"/>
        </w:rPr>
      </w:pPr>
    </w:p>
    <w:p w:rsidR="00644907" w:rsidRPr="005E1E76" w:rsidRDefault="00644907" w:rsidP="009C65E5">
      <w:pPr>
        <w:numPr>
          <w:ilvl w:val="0"/>
          <w:numId w:val="6"/>
        </w:numPr>
        <w:tabs>
          <w:tab w:val="clear" w:pos="720"/>
          <w:tab w:val="num" w:pos="392"/>
        </w:tabs>
        <w:spacing w:line="360" w:lineRule="auto"/>
        <w:ind w:left="392" w:hanging="364"/>
        <w:jc w:val="both"/>
        <w:rPr>
          <w:rFonts w:ascii="Arial" w:hAnsi="Arial" w:cs="Arial"/>
          <w:sz w:val="20"/>
          <w:szCs w:val="20"/>
        </w:rPr>
      </w:pPr>
      <w:r w:rsidRPr="005E1E76">
        <w:rPr>
          <w:rFonts w:ascii="Arial" w:hAnsi="Arial" w:cs="Arial"/>
          <w:sz w:val="20"/>
          <w:szCs w:val="20"/>
        </w:rPr>
        <w:t xml:space="preserve">Se prevén 12,5 M procedentes de la Comunidad Autónoma para el II Plan de Infraestructuras </w:t>
      </w:r>
      <w:proofErr w:type="spellStart"/>
      <w:r w:rsidRPr="005E1E76">
        <w:rPr>
          <w:rFonts w:ascii="Arial" w:hAnsi="Arial" w:cs="Arial"/>
          <w:sz w:val="20"/>
          <w:szCs w:val="20"/>
        </w:rPr>
        <w:t>Sociosanitarias</w:t>
      </w:r>
      <w:proofErr w:type="spellEnd"/>
      <w:r w:rsidRPr="005E1E76">
        <w:rPr>
          <w:rFonts w:ascii="Arial" w:hAnsi="Arial" w:cs="Arial"/>
          <w:sz w:val="20"/>
          <w:szCs w:val="20"/>
        </w:rPr>
        <w:t xml:space="preserve"> de Canarias, correspondientes a la anualidad 2019 según convenio de cooperación suscrito el 29 de diciembre de 2017.  La previsión aumenta en 1,8 M € respecto de la consignada inicialmente en 2018.</w:t>
      </w:r>
    </w:p>
    <w:p w:rsidR="00644907" w:rsidRDefault="00644907" w:rsidP="00AF619D">
      <w:pPr>
        <w:spacing w:line="360" w:lineRule="auto"/>
        <w:ind w:left="392"/>
        <w:jc w:val="both"/>
        <w:rPr>
          <w:rFonts w:ascii="Arial" w:hAnsi="Arial" w:cs="Arial"/>
          <w:color w:val="FF0000"/>
          <w:sz w:val="20"/>
          <w:szCs w:val="20"/>
        </w:rPr>
      </w:pPr>
    </w:p>
    <w:p w:rsidR="00644907" w:rsidRPr="00714AC1" w:rsidRDefault="00644907" w:rsidP="009C65E5">
      <w:pPr>
        <w:numPr>
          <w:ilvl w:val="0"/>
          <w:numId w:val="6"/>
        </w:numPr>
        <w:tabs>
          <w:tab w:val="clear" w:pos="720"/>
          <w:tab w:val="num" w:pos="392"/>
        </w:tabs>
        <w:spacing w:line="360" w:lineRule="auto"/>
        <w:ind w:left="392" w:hanging="364"/>
        <w:jc w:val="both"/>
        <w:rPr>
          <w:rFonts w:ascii="Arial" w:hAnsi="Arial" w:cs="Arial"/>
          <w:sz w:val="20"/>
          <w:szCs w:val="20"/>
        </w:rPr>
      </w:pPr>
      <w:r w:rsidRPr="00714AC1">
        <w:rPr>
          <w:rFonts w:ascii="Arial" w:hAnsi="Arial" w:cs="Arial"/>
          <w:sz w:val="20"/>
          <w:szCs w:val="20"/>
        </w:rPr>
        <w:t>Se recoge el importe de 1,6 M € procedente de la CAC con destino a la financiación de las actuaciones recogidas dentro del Plan de Competitividad del Turismo Canario,  subvención nominada concedida por Orden de 17 de agosto de 2018 y que se espera percibir en 2019.</w:t>
      </w:r>
    </w:p>
    <w:p w:rsidR="00644907" w:rsidRPr="00D26146" w:rsidRDefault="00644907" w:rsidP="00141796">
      <w:pPr>
        <w:spacing w:line="360" w:lineRule="auto"/>
        <w:ind w:left="392"/>
        <w:jc w:val="both"/>
        <w:rPr>
          <w:rFonts w:ascii="Arial" w:hAnsi="Arial" w:cs="Arial"/>
          <w:color w:val="FF0000"/>
          <w:sz w:val="20"/>
          <w:szCs w:val="20"/>
        </w:rPr>
      </w:pPr>
    </w:p>
    <w:p w:rsidR="00644907" w:rsidRPr="00F74202" w:rsidRDefault="00644907" w:rsidP="009C65E5">
      <w:pPr>
        <w:numPr>
          <w:ilvl w:val="0"/>
          <w:numId w:val="6"/>
        </w:numPr>
        <w:tabs>
          <w:tab w:val="clear" w:pos="720"/>
          <w:tab w:val="num" w:pos="392"/>
        </w:tabs>
        <w:spacing w:line="360" w:lineRule="auto"/>
        <w:ind w:left="392" w:hanging="364"/>
        <w:jc w:val="both"/>
        <w:rPr>
          <w:rFonts w:ascii="Arial" w:hAnsi="Arial" w:cs="Arial"/>
          <w:sz w:val="20"/>
          <w:szCs w:val="20"/>
        </w:rPr>
      </w:pPr>
      <w:r w:rsidRPr="00F74202">
        <w:rPr>
          <w:rFonts w:ascii="Arial" w:hAnsi="Arial" w:cs="Arial"/>
          <w:sz w:val="20"/>
          <w:szCs w:val="20"/>
        </w:rPr>
        <w:t xml:space="preserve">Entre los ingresos estimados por aportaciones de Ayuntamientos, destacan </w:t>
      </w:r>
      <w:r>
        <w:rPr>
          <w:rFonts w:ascii="Arial" w:hAnsi="Arial" w:cs="Arial"/>
          <w:sz w:val="20"/>
          <w:szCs w:val="20"/>
        </w:rPr>
        <w:t xml:space="preserve">por su cuantía </w:t>
      </w:r>
      <w:r w:rsidRPr="00F74202">
        <w:rPr>
          <w:rFonts w:ascii="Arial" w:hAnsi="Arial" w:cs="Arial"/>
          <w:sz w:val="20"/>
          <w:szCs w:val="20"/>
        </w:rPr>
        <w:t>los 3,1 M € para actuaciones incluidas en el Plan Insular de Cooperación.</w:t>
      </w:r>
    </w:p>
    <w:p w:rsidR="00644907" w:rsidRPr="00D26146" w:rsidRDefault="00644907" w:rsidP="00141796">
      <w:pPr>
        <w:pStyle w:val="Prrafodelista"/>
        <w:rPr>
          <w:rFonts w:ascii="Arial" w:hAnsi="Arial" w:cs="Arial"/>
          <w:color w:val="FF0000"/>
          <w:sz w:val="20"/>
          <w:szCs w:val="20"/>
        </w:rPr>
      </w:pPr>
    </w:p>
    <w:p w:rsidR="00644907" w:rsidRPr="00F74202" w:rsidRDefault="00644907" w:rsidP="009C65E5">
      <w:pPr>
        <w:numPr>
          <w:ilvl w:val="0"/>
          <w:numId w:val="6"/>
        </w:numPr>
        <w:tabs>
          <w:tab w:val="clear" w:pos="720"/>
          <w:tab w:val="num" w:pos="392"/>
        </w:tabs>
        <w:spacing w:line="360" w:lineRule="auto"/>
        <w:ind w:left="392" w:hanging="364"/>
        <w:jc w:val="both"/>
        <w:rPr>
          <w:rFonts w:ascii="Arial" w:hAnsi="Arial" w:cs="Arial"/>
          <w:sz w:val="20"/>
          <w:szCs w:val="20"/>
        </w:rPr>
      </w:pPr>
      <w:r w:rsidRPr="00F74202">
        <w:rPr>
          <w:rFonts w:ascii="Arial" w:hAnsi="Arial" w:cs="Arial"/>
          <w:sz w:val="20"/>
          <w:szCs w:val="20"/>
        </w:rPr>
        <w:t>Se contemplan 1,7 M € de financiación del FEDER para el proyecto DUSI Suroeste, Área Metropolitana”, al que se ha concedido la ayuda europea dentro de la primera convocatoria para la selección de estrategias de Desarrollo Urbano Sostenible e integrado, cofinanciadas mediante el Programa Operativo FEDER de crecimiento sostenible 2014-2020.</w:t>
      </w:r>
    </w:p>
    <w:p w:rsidR="00644907" w:rsidRPr="00F74202" w:rsidRDefault="00644907" w:rsidP="00F74202">
      <w:pPr>
        <w:pStyle w:val="Prrafodelista"/>
        <w:rPr>
          <w:rFonts w:ascii="Arial" w:hAnsi="Arial" w:cs="Arial"/>
          <w:sz w:val="20"/>
          <w:szCs w:val="20"/>
        </w:rPr>
      </w:pPr>
    </w:p>
    <w:p w:rsidR="00644907" w:rsidRPr="00F74202" w:rsidRDefault="00644907" w:rsidP="009C65E5">
      <w:pPr>
        <w:numPr>
          <w:ilvl w:val="0"/>
          <w:numId w:val="6"/>
        </w:numPr>
        <w:tabs>
          <w:tab w:val="clear" w:pos="720"/>
          <w:tab w:val="num" w:pos="392"/>
        </w:tabs>
        <w:spacing w:line="360" w:lineRule="auto"/>
        <w:ind w:left="392" w:hanging="364"/>
        <w:jc w:val="both"/>
        <w:rPr>
          <w:rFonts w:ascii="Arial" w:hAnsi="Arial" w:cs="Arial"/>
          <w:sz w:val="20"/>
          <w:szCs w:val="20"/>
        </w:rPr>
      </w:pPr>
      <w:r w:rsidRPr="00F74202">
        <w:rPr>
          <w:rFonts w:ascii="Arial" w:hAnsi="Arial" w:cs="Arial"/>
          <w:sz w:val="20"/>
          <w:szCs w:val="20"/>
        </w:rPr>
        <w:t>Destaca también, con 1,9 M €, la financiación prevista procedente de la Unión Europea para las actuaciones elegibles en el marco del Programa de Desarrollo Rural (FEADER) 2014-2020 y aprobadas en la Comisión de Seguimiento correspondiente celebrada el 23 de octubre de 2018.</w:t>
      </w:r>
    </w:p>
    <w:p w:rsidR="00644907" w:rsidRPr="00D26146" w:rsidRDefault="00644907" w:rsidP="00FE347F">
      <w:pPr>
        <w:spacing w:line="360" w:lineRule="auto"/>
        <w:ind w:left="360"/>
        <w:jc w:val="both"/>
        <w:rPr>
          <w:rFonts w:ascii="Arial" w:hAnsi="Arial" w:cs="Arial"/>
          <w:color w:val="FF0000"/>
          <w:sz w:val="20"/>
          <w:szCs w:val="20"/>
        </w:rPr>
      </w:pPr>
    </w:p>
    <w:p w:rsidR="00644907" w:rsidRPr="00AE0E5D" w:rsidRDefault="00644907" w:rsidP="00716E04">
      <w:pPr>
        <w:pStyle w:val="Ttulo5"/>
        <w:rPr>
          <w:rFonts w:ascii="Arial" w:hAnsi="Arial" w:cs="Arial"/>
          <w:sz w:val="20"/>
          <w:szCs w:val="20"/>
          <w:u w:val="single"/>
        </w:rPr>
      </w:pPr>
      <w:r w:rsidRPr="00AE0E5D">
        <w:rPr>
          <w:rFonts w:ascii="Arial" w:hAnsi="Arial" w:cs="Arial"/>
          <w:sz w:val="20"/>
          <w:szCs w:val="20"/>
          <w:u w:val="single"/>
        </w:rPr>
        <w:t>VIII. Activos Financieros.</w:t>
      </w:r>
    </w:p>
    <w:p w:rsidR="00644907" w:rsidRPr="00AE0E5D" w:rsidRDefault="00644907" w:rsidP="00855818">
      <w:pPr>
        <w:rPr>
          <w:rFonts w:ascii="Arial" w:hAnsi="Arial" w:cs="Arial"/>
          <w:sz w:val="20"/>
          <w:szCs w:val="20"/>
        </w:rPr>
      </w:pPr>
    </w:p>
    <w:p w:rsidR="00644907" w:rsidRPr="00AE0E5D" w:rsidRDefault="00644907" w:rsidP="00343090">
      <w:pPr>
        <w:spacing w:line="360" w:lineRule="auto"/>
        <w:jc w:val="both"/>
        <w:rPr>
          <w:rFonts w:ascii="Arial" w:hAnsi="Arial" w:cs="Arial"/>
          <w:sz w:val="20"/>
          <w:szCs w:val="20"/>
        </w:rPr>
      </w:pPr>
      <w:r w:rsidRPr="00AE0E5D">
        <w:rPr>
          <w:rFonts w:ascii="Arial" w:hAnsi="Arial" w:cs="Arial"/>
          <w:sz w:val="20"/>
          <w:szCs w:val="20"/>
        </w:rPr>
        <w:t>Esta capítulo contiene únicamente la previsión de ingresos por valor de 1,8 M € que se mantiene por los reintegros de anticipos al personal. La cantidad prevista por este concepto queda compensada con una partida de igual cuantía en el estado de gastos.</w:t>
      </w:r>
    </w:p>
    <w:p w:rsidR="00644907" w:rsidRPr="00D26146" w:rsidRDefault="00644907" w:rsidP="00716E04">
      <w:pPr>
        <w:spacing w:line="360" w:lineRule="auto"/>
        <w:jc w:val="both"/>
        <w:rPr>
          <w:rFonts w:ascii="Arial" w:hAnsi="Arial" w:cs="Arial"/>
          <w:color w:val="FF0000"/>
          <w:sz w:val="20"/>
          <w:szCs w:val="20"/>
        </w:rPr>
      </w:pPr>
    </w:p>
    <w:p w:rsidR="00644907" w:rsidRPr="00F74202" w:rsidRDefault="00644907" w:rsidP="00716E04">
      <w:pPr>
        <w:pStyle w:val="Ttulo5"/>
        <w:rPr>
          <w:rFonts w:ascii="Arial" w:hAnsi="Arial" w:cs="Arial"/>
          <w:sz w:val="20"/>
          <w:szCs w:val="20"/>
          <w:u w:val="single"/>
        </w:rPr>
      </w:pPr>
      <w:r w:rsidRPr="00F74202">
        <w:rPr>
          <w:rFonts w:ascii="Arial" w:hAnsi="Arial" w:cs="Arial"/>
          <w:sz w:val="20"/>
          <w:szCs w:val="20"/>
          <w:u w:val="single"/>
        </w:rPr>
        <w:t>IX. Pasivos  Financieros.</w:t>
      </w:r>
    </w:p>
    <w:p w:rsidR="00644907" w:rsidRPr="00D26146" w:rsidRDefault="00644907" w:rsidP="00855818">
      <w:pPr>
        <w:rPr>
          <w:rFonts w:ascii="Arial" w:hAnsi="Arial" w:cs="Arial"/>
          <w:color w:val="FF0000"/>
          <w:sz w:val="20"/>
          <w:szCs w:val="20"/>
        </w:rPr>
      </w:pPr>
    </w:p>
    <w:p w:rsidR="00644907" w:rsidRDefault="00644907" w:rsidP="00317FB0">
      <w:pPr>
        <w:spacing w:line="360" w:lineRule="auto"/>
        <w:jc w:val="both"/>
        <w:rPr>
          <w:rFonts w:ascii="Arial" w:hAnsi="Arial" w:cs="Arial"/>
          <w:sz w:val="20"/>
          <w:szCs w:val="20"/>
        </w:rPr>
      </w:pPr>
      <w:r>
        <w:rPr>
          <w:rFonts w:ascii="Arial" w:hAnsi="Arial" w:cs="Arial"/>
          <w:sz w:val="20"/>
          <w:szCs w:val="20"/>
        </w:rPr>
        <w:t>S</w:t>
      </w:r>
      <w:r w:rsidRPr="00317FB0">
        <w:rPr>
          <w:rFonts w:ascii="Arial" w:hAnsi="Arial" w:cs="Arial"/>
          <w:sz w:val="20"/>
          <w:szCs w:val="20"/>
        </w:rPr>
        <w:t xml:space="preserve">e prevé la concertación de préstamo </w:t>
      </w:r>
      <w:r>
        <w:rPr>
          <w:rFonts w:ascii="Arial" w:hAnsi="Arial" w:cs="Arial"/>
          <w:sz w:val="20"/>
          <w:szCs w:val="20"/>
        </w:rPr>
        <w:t xml:space="preserve">por 25,0 M € </w:t>
      </w:r>
      <w:r w:rsidRPr="00317FB0">
        <w:rPr>
          <w:rFonts w:ascii="Arial" w:hAnsi="Arial" w:cs="Arial"/>
          <w:sz w:val="20"/>
          <w:szCs w:val="20"/>
        </w:rPr>
        <w:t>para</w:t>
      </w:r>
      <w:r>
        <w:rPr>
          <w:rFonts w:ascii="Arial" w:hAnsi="Arial" w:cs="Arial"/>
          <w:sz w:val="20"/>
          <w:szCs w:val="20"/>
        </w:rPr>
        <w:t xml:space="preserve"> la financiación de inversiones.</w:t>
      </w:r>
    </w:p>
    <w:p w:rsidR="00644907" w:rsidRDefault="00644907" w:rsidP="00557667">
      <w:pPr>
        <w:spacing w:line="360" w:lineRule="auto"/>
        <w:jc w:val="both"/>
        <w:rPr>
          <w:rFonts w:ascii="Arial" w:hAnsi="Arial" w:cs="Arial"/>
          <w:sz w:val="20"/>
          <w:szCs w:val="20"/>
        </w:rPr>
      </w:pPr>
      <w:r w:rsidRPr="00F74202">
        <w:rPr>
          <w:rFonts w:ascii="Arial" w:hAnsi="Arial" w:cs="Arial"/>
          <w:sz w:val="20"/>
          <w:szCs w:val="20"/>
        </w:rPr>
        <w:t>Un análisis detallado de la operación prevista y sus implicaciones financieras se encuentra en el Informe Financiero que forma parte del presente expediente.</w:t>
      </w:r>
      <w:bookmarkStart w:id="0" w:name="_GoBack"/>
      <w:bookmarkEnd w:id="0"/>
    </w:p>
    <w:sectPr w:rsidR="00644907" w:rsidSect="006F06F0">
      <w:headerReference w:type="default" r:id="rId19"/>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A0" w:rsidRDefault="00C459A0">
      <w:r>
        <w:separator/>
      </w:r>
    </w:p>
  </w:endnote>
  <w:endnote w:type="continuationSeparator" w:id="0">
    <w:p w:rsidR="00C459A0" w:rsidRDefault="00C4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A0" w:rsidRDefault="00C459A0">
      <w:r>
        <w:separator/>
      </w:r>
    </w:p>
  </w:footnote>
  <w:footnote w:type="continuationSeparator" w:id="0">
    <w:p w:rsidR="00C459A0" w:rsidRDefault="00C45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9A0" w:rsidRDefault="00C459A0" w:rsidP="002C2D7F">
    <w:pPr>
      <w:pStyle w:val="Encabezado"/>
      <w:tabs>
        <w:tab w:val="clear" w:pos="8504"/>
        <w:tab w:val="right" w:pos="9639"/>
      </w:tabs>
      <w:rPr>
        <w:b/>
        <w:bCs/>
        <w:i/>
        <w:iCs/>
        <w:color w:val="0000FF"/>
        <w:sz w:val="16"/>
        <w:szCs w:val="16"/>
      </w:rPr>
    </w:pPr>
    <w:r>
      <w:rPr>
        <w:b/>
        <w:bCs/>
        <w:i/>
        <w:iCs/>
        <w:color w:val="0000FF"/>
        <w:sz w:val="16"/>
        <w:szCs w:val="16"/>
      </w:rPr>
      <w:t>Excmo. Cabildo Insular de Tenerife</w:t>
    </w:r>
  </w:p>
  <w:p w:rsidR="00C459A0" w:rsidRDefault="00C459A0" w:rsidP="00A939CA">
    <w:pPr>
      <w:pStyle w:val="Encabezado"/>
      <w:pBdr>
        <w:bottom w:val="single" w:sz="4" w:space="1" w:color="auto"/>
      </w:pBdr>
      <w:tabs>
        <w:tab w:val="clear" w:pos="8504"/>
        <w:tab w:val="right" w:pos="8460"/>
      </w:tabs>
      <w:rPr>
        <w:b/>
        <w:bCs/>
        <w:i/>
        <w:iCs/>
        <w:color w:val="0000FF"/>
        <w:sz w:val="16"/>
        <w:szCs w:val="16"/>
      </w:rPr>
    </w:pPr>
    <w:r>
      <w:rPr>
        <w:b/>
        <w:bCs/>
        <w:i/>
        <w:iCs/>
        <w:color w:val="0000FF"/>
        <w:sz w:val="16"/>
        <w:szCs w:val="16"/>
      </w:rPr>
      <w:t>Presupuesto 2019</w:t>
    </w:r>
    <w:r>
      <w:rPr>
        <w:b/>
        <w:bCs/>
        <w:i/>
        <w:iCs/>
        <w:color w:val="0000FF"/>
        <w:sz w:val="16"/>
        <w:szCs w:val="16"/>
      </w:rPr>
      <w:tab/>
    </w:r>
    <w:r>
      <w:rPr>
        <w:b/>
        <w:bCs/>
        <w:i/>
        <w:iCs/>
        <w:color w:val="0000FF"/>
        <w:sz w:val="16"/>
        <w:szCs w:val="16"/>
      </w:rPr>
      <w:tab/>
    </w:r>
    <w:proofErr w:type="spellStart"/>
    <w:r>
      <w:rPr>
        <w:b/>
        <w:bCs/>
        <w:i/>
        <w:iCs/>
        <w:color w:val="0000FF"/>
        <w:sz w:val="16"/>
        <w:szCs w:val="16"/>
      </w:rPr>
      <w:t>III.b</w:t>
    </w:r>
    <w:proofErr w:type="spellEnd"/>
    <w:r>
      <w:rPr>
        <w:b/>
        <w:bCs/>
        <w:i/>
        <w:iCs/>
        <w:color w:val="0000FF"/>
        <w:sz w:val="16"/>
        <w:szCs w:val="16"/>
      </w:rPr>
      <w:t>. Previsiones de Ingresos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5D6"/>
    <w:multiLevelType w:val="hybridMultilevel"/>
    <w:tmpl w:val="05B6948E"/>
    <w:lvl w:ilvl="0" w:tplc="60E6B396">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7626765"/>
    <w:multiLevelType w:val="hybridMultilevel"/>
    <w:tmpl w:val="8502075A"/>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B171C11"/>
    <w:multiLevelType w:val="hybridMultilevel"/>
    <w:tmpl w:val="EA32FF0A"/>
    <w:lvl w:ilvl="0" w:tplc="67C0C9EE">
      <w:numFmt w:val="bullet"/>
      <w:lvlText w:val="-"/>
      <w:lvlJc w:val="left"/>
      <w:pPr>
        <w:tabs>
          <w:tab w:val="num" w:pos="360"/>
        </w:tabs>
        <w:ind w:left="360" w:hanging="360"/>
      </w:pPr>
      <w:rPr>
        <w:rFonts w:ascii="Times New Roman" w:eastAsia="Times New Roman" w:hAnsi="Times New Roman"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3">
    <w:nsid w:val="13F26E3D"/>
    <w:multiLevelType w:val="hybridMultilevel"/>
    <w:tmpl w:val="F08CDA7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B636998"/>
    <w:multiLevelType w:val="hybridMultilevel"/>
    <w:tmpl w:val="57C207C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F7863F5"/>
    <w:multiLevelType w:val="hybridMultilevel"/>
    <w:tmpl w:val="0A107A4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2F1A35BE"/>
    <w:multiLevelType w:val="hybridMultilevel"/>
    <w:tmpl w:val="D9764008"/>
    <w:lvl w:ilvl="0" w:tplc="0C0A0001">
      <w:start w:val="1"/>
      <w:numFmt w:val="bullet"/>
      <w:lvlText w:val=""/>
      <w:lvlJc w:val="left"/>
      <w:pPr>
        <w:tabs>
          <w:tab w:val="num" w:pos="792"/>
        </w:tabs>
        <w:ind w:left="792" w:hanging="360"/>
      </w:pPr>
      <w:rPr>
        <w:rFonts w:ascii="Symbol" w:hAnsi="Symbol" w:cs="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cs="Wingdings" w:hint="default"/>
      </w:rPr>
    </w:lvl>
    <w:lvl w:ilvl="3" w:tplc="0C0A0001">
      <w:start w:val="1"/>
      <w:numFmt w:val="bullet"/>
      <w:lvlText w:val=""/>
      <w:lvlJc w:val="left"/>
      <w:pPr>
        <w:tabs>
          <w:tab w:val="num" w:pos="2952"/>
        </w:tabs>
        <w:ind w:left="2952" w:hanging="360"/>
      </w:pPr>
      <w:rPr>
        <w:rFonts w:ascii="Symbol" w:hAnsi="Symbol" w:cs="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cs="Wingdings" w:hint="default"/>
      </w:rPr>
    </w:lvl>
    <w:lvl w:ilvl="6" w:tplc="0C0A0001">
      <w:start w:val="1"/>
      <w:numFmt w:val="bullet"/>
      <w:lvlText w:val=""/>
      <w:lvlJc w:val="left"/>
      <w:pPr>
        <w:tabs>
          <w:tab w:val="num" w:pos="5112"/>
        </w:tabs>
        <w:ind w:left="5112" w:hanging="360"/>
      </w:pPr>
      <w:rPr>
        <w:rFonts w:ascii="Symbol" w:hAnsi="Symbol" w:cs="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cs="Wingdings" w:hint="default"/>
      </w:rPr>
    </w:lvl>
  </w:abstractNum>
  <w:abstractNum w:abstractNumId="7">
    <w:nsid w:val="37C07630"/>
    <w:multiLevelType w:val="hybridMultilevel"/>
    <w:tmpl w:val="ACC8041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nsid w:val="394E168D"/>
    <w:multiLevelType w:val="singleLevel"/>
    <w:tmpl w:val="0C0A000F"/>
    <w:lvl w:ilvl="0">
      <w:start w:val="1"/>
      <w:numFmt w:val="decimal"/>
      <w:lvlText w:val="%1."/>
      <w:lvlJc w:val="left"/>
      <w:pPr>
        <w:tabs>
          <w:tab w:val="num" w:pos="360"/>
        </w:tabs>
        <w:ind w:left="360" w:hanging="360"/>
      </w:pPr>
    </w:lvl>
  </w:abstractNum>
  <w:abstractNum w:abstractNumId="9">
    <w:nsid w:val="3DF518DD"/>
    <w:multiLevelType w:val="hybridMultilevel"/>
    <w:tmpl w:val="106C5CB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47DC768D"/>
    <w:multiLevelType w:val="hybridMultilevel"/>
    <w:tmpl w:val="C3FAE4DA"/>
    <w:lvl w:ilvl="0" w:tplc="67C0C9EE">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nsid w:val="50115DBB"/>
    <w:multiLevelType w:val="hybridMultilevel"/>
    <w:tmpl w:val="3994744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653B4616"/>
    <w:multiLevelType w:val="hybridMultilevel"/>
    <w:tmpl w:val="062076C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69A22AFA"/>
    <w:multiLevelType w:val="hybridMultilevel"/>
    <w:tmpl w:val="EE7C8A62"/>
    <w:lvl w:ilvl="0" w:tplc="0C0A0001">
      <w:start w:val="1"/>
      <w:numFmt w:val="bullet"/>
      <w:lvlText w:val=""/>
      <w:lvlJc w:val="left"/>
      <w:pPr>
        <w:tabs>
          <w:tab w:val="num" w:pos="1440"/>
        </w:tabs>
        <w:ind w:left="1440" w:hanging="360"/>
      </w:pPr>
      <w:rPr>
        <w:rFonts w:ascii="Symbol" w:hAnsi="Symbol" w:cs="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14">
    <w:nsid w:val="6B4D3445"/>
    <w:multiLevelType w:val="hybridMultilevel"/>
    <w:tmpl w:val="8336519A"/>
    <w:lvl w:ilvl="0" w:tplc="0C0A0001">
      <w:start w:val="1"/>
      <w:numFmt w:val="bullet"/>
      <w:lvlText w:val=""/>
      <w:lvlJc w:val="left"/>
      <w:pPr>
        <w:tabs>
          <w:tab w:val="num" w:pos="792"/>
        </w:tabs>
        <w:ind w:left="792" w:hanging="360"/>
      </w:pPr>
      <w:rPr>
        <w:rFonts w:ascii="Symbol" w:hAnsi="Symbol" w:cs="Symbol" w:hint="default"/>
      </w:rPr>
    </w:lvl>
    <w:lvl w:ilvl="1" w:tplc="67C0C9EE">
      <w:numFmt w:val="bullet"/>
      <w:lvlText w:val="-"/>
      <w:lvlJc w:val="left"/>
      <w:pPr>
        <w:tabs>
          <w:tab w:val="num" w:pos="1512"/>
        </w:tabs>
        <w:ind w:left="1512" w:hanging="360"/>
      </w:pPr>
      <w:rPr>
        <w:rFonts w:ascii="Times New Roman" w:eastAsia="Times New Roman" w:hAnsi="Times New Roman" w:hint="default"/>
      </w:rPr>
    </w:lvl>
    <w:lvl w:ilvl="2" w:tplc="0C0A0005">
      <w:start w:val="1"/>
      <w:numFmt w:val="bullet"/>
      <w:lvlText w:val=""/>
      <w:lvlJc w:val="left"/>
      <w:pPr>
        <w:tabs>
          <w:tab w:val="num" w:pos="2232"/>
        </w:tabs>
        <w:ind w:left="2232" w:hanging="360"/>
      </w:pPr>
      <w:rPr>
        <w:rFonts w:ascii="Wingdings" w:hAnsi="Wingdings" w:cs="Wingdings" w:hint="default"/>
      </w:rPr>
    </w:lvl>
    <w:lvl w:ilvl="3" w:tplc="0C0A0001">
      <w:start w:val="1"/>
      <w:numFmt w:val="bullet"/>
      <w:lvlText w:val=""/>
      <w:lvlJc w:val="left"/>
      <w:pPr>
        <w:tabs>
          <w:tab w:val="num" w:pos="2952"/>
        </w:tabs>
        <w:ind w:left="2952" w:hanging="360"/>
      </w:pPr>
      <w:rPr>
        <w:rFonts w:ascii="Symbol" w:hAnsi="Symbol" w:cs="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cs="Wingdings" w:hint="default"/>
      </w:rPr>
    </w:lvl>
    <w:lvl w:ilvl="6" w:tplc="0C0A0001">
      <w:start w:val="1"/>
      <w:numFmt w:val="bullet"/>
      <w:lvlText w:val=""/>
      <w:lvlJc w:val="left"/>
      <w:pPr>
        <w:tabs>
          <w:tab w:val="num" w:pos="5112"/>
        </w:tabs>
        <w:ind w:left="5112" w:hanging="360"/>
      </w:pPr>
      <w:rPr>
        <w:rFonts w:ascii="Symbol" w:hAnsi="Symbol" w:cs="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cs="Wingdings" w:hint="default"/>
      </w:rPr>
    </w:lvl>
  </w:abstractNum>
  <w:abstractNum w:abstractNumId="15">
    <w:nsid w:val="6E557399"/>
    <w:multiLevelType w:val="hybridMultilevel"/>
    <w:tmpl w:val="95267F74"/>
    <w:lvl w:ilvl="0" w:tplc="67C0C9EE">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num w:numId="1">
    <w:abstractNumId w:val="8"/>
  </w:num>
  <w:num w:numId="2">
    <w:abstractNumId w:val="12"/>
  </w:num>
  <w:num w:numId="3">
    <w:abstractNumId w:val="7"/>
  </w:num>
  <w:num w:numId="4">
    <w:abstractNumId w:val="4"/>
  </w:num>
  <w:num w:numId="5">
    <w:abstractNumId w:val="9"/>
  </w:num>
  <w:num w:numId="6">
    <w:abstractNumId w:val="11"/>
  </w:num>
  <w:num w:numId="7">
    <w:abstractNumId w:val="5"/>
  </w:num>
  <w:num w:numId="8">
    <w:abstractNumId w:val="3"/>
  </w:num>
  <w:num w:numId="9">
    <w:abstractNumId w:val="6"/>
  </w:num>
  <w:num w:numId="10">
    <w:abstractNumId w:val="14"/>
  </w:num>
  <w:num w:numId="11">
    <w:abstractNumId w:val="13"/>
  </w:num>
  <w:num w:numId="12">
    <w:abstractNumId w:val="1"/>
  </w:num>
  <w:num w:numId="13">
    <w:abstractNumId w:val="0"/>
  </w:num>
  <w:num w:numId="14">
    <w:abstractNumId w:val="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16E04"/>
    <w:rsid w:val="0000131B"/>
    <w:rsid w:val="0000162B"/>
    <w:rsid w:val="0000305B"/>
    <w:rsid w:val="000035C1"/>
    <w:rsid w:val="000046D5"/>
    <w:rsid w:val="00005957"/>
    <w:rsid w:val="00005969"/>
    <w:rsid w:val="00006BDE"/>
    <w:rsid w:val="00007288"/>
    <w:rsid w:val="000077D5"/>
    <w:rsid w:val="0000793D"/>
    <w:rsid w:val="00010C8A"/>
    <w:rsid w:val="00011181"/>
    <w:rsid w:val="00012535"/>
    <w:rsid w:val="00012C53"/>
    <w:rsid w:val="00012DBD"/>
    <w:rsid w:val="000135B0"/>
    <w:rsid w:val="000137D0"/>
    <w:rsid w:val="00013A9D"/>
    <w:rsid w:val="00013D9C"/>
    <w:rsid w:val="00016221"/>
    <w:rsid w:val="000163F7"/>
    <w:rsid w:val="000169A0"/>
    <w:rsid w:val="00017A54"/>
    <w:rsid w:val="00020307"/>
    <w:rsid w:val="00020334"/>
    <w:rsid w:val="0002217C"/>
    <w:rsid w:val="0002346B"/>
    <w:rsid w:val="00023671"/>
    <w:rsid w:val="00024881"/>
    <w:rsid w:val="0002512D"/>
    <w:rsid w:val="000258E2"/>
    <w:rsid w:val="00025956"/>
    <w:rsid w:val="00030382"/>
    <w:rsid w:val="0003040B"/>
    <w:rsid w:val="0003041E"/>
    <w:rsid w:val="000312A9"/>
    <w:rsid w:val="000314D6"/>
    <w:rsid w:val="00032EB1"/>
    <w:rsid w:val="00033746"/>
    <w:rsid w:val="00033844"/>
    <w:rsid w:val="00033D98"/>
    <w:rsid w:val="00034345"/>
    <w:rsid w:val="0003583C"/>
    <w:rsid w:val="00035A0E"/>
    <w:rsid w:val="00035DC9"/>
    <w:rsid w:val="00035F01"/>
    <w:rsid w:val="0003606C"/>
    <w:rsid w:val="000361F4"/>
    <w:rsid w:val="000365FC"/>
    <w:rsid w:val="00037CAB"/>
    <w:rsid w:val="00037EA7"/>
    <w:rsid w:val="00040A9A"/>
    <w:rsid w:val="00040C1E"/>
    <w:rsid w:val="000418A2"/>
    <w:rsid w:val="00041D1E"/>
    <w:rsid w:val="00042854"/>
    <w:rsid w:val="000443CA"/>
    <w:rsid w:val="000445E7"/>
    <w:rsid w:val="00044C74"/>
    <w:rsid w:val="00046862"/>
    <w:rsid w:val="00047BB9"/>
    <w:rsid w:val="00047BD7"/>
    <w:rsid w:val="00047F4A"/>
    <w:rsid w:val="00054310"/>
    <w:rsid w:val="00055200"/>
    <w:rsid w:val="000553BB"/>
    <w:rsid w:val="000554CE"/>
    <w:rsid w:val="000556B3"/>
    <w:rsid w:val="00057740"/>
    <w:rsid w:val="0006056A"/>
    <w:rsid w:val="00060F5E"/>
    <w:rsid w:val="000613A8"/>
    <w:rsid w:val="000613BA"/>
    <w:rsid w:val="000613F1"/>
    <w:rsid w:val="00061F72"/>
    <w:rsid w:val="0006285C"/>
    <w:rsid w:val="000633DD"/>
    <w:rsid w:val="00064F3F"/>
    <w:rsid w:val="00066D18"/>
    <w:rsid w:val="000675A0"/>
    <w:rsid w:val="00070CDC"/>
    <w:rsid w:val="00072874"/>
    <w:rsid w:val="00072D48"/>
    <w:rsid w:val="0007305E"/>
    <w:rsid w:val="00073E1B"/>
    <w:rsid w:val="00075013"/>
    <w:rsid w:val="00075449"/>
    <w:rsid w:val="00076B96"/>
    <w:rsid w:val="000800B9"/>
    <w:rsid w:val="00080AB7"/>
    <w:rsid w:val="00083122"/>
    <w:rsid w:val="000832BB"/>
    <w:rsid w:val="00083712"/>
    <w:rsid w:val="0008401B"/>
    <w:rsid w:val="00085438"/>
    <w:rsid w:val="000858E0"/>
    <w:rsid w:val="0008675A"/>
    <w:rsid w:val="00087B78"/>
    <w:rsid w:val="00090307"/>
    <w:rsid w:val="000905ED"/>
    <w:rsid w:val="00093430"/>
    <w:rsid w:val="00093FC0"/>
    <w:rsid w:val="0009504A"/>
    <w:rsid w:val="00095685"/>
    <w:rsid w:val="00095BE7"/>
    <w:rsid w:val="00096D3B"/>
    <w:rsid w:val="00096D49"/>
    <w:rsid w:val="00097854"/>
    <w:rsid w:val="00097D83"/>
    <w:rsid w:val="00097D96"/>
    <w:rsid w:val="000A0B66"/>
    <w:rsid w:val="000A2BFD"/>
    <w:rsid w:val="000A2C90"/>
    <w:rsid w:val="000A3CE5"/>
    <w:rsid w:val="000A3D99"/>
    <w:rsid w:val="000A4384"/>
    <w:rsid w:val="000A5114"/>
    <w:rsid w:val="000A5866"/>
    <w:rsid w:val="000A5F1C"/>
    <w:rsid w:val="000A65FA"/>
    <w:rsid w:val="000A705E"/>
    <w:rsid w:val="000B06EF"/>
    <w:rsid w:val="000B1556"/>
    <w:rsid w:val="000B16CB"/>
    <w:rsid w:val="000B20AD"/>
    <w:rsid w:val="000B2AE5"/>
    <w:rsid w:val="000B2E98"/>
    <w:rsid w:val="000B5C1D"/>
    <w:rsid w:val="000B67B2"/>
    <w:rsid w:val="000B7101"/>
    <w:rsid w:val="000B74F4"/>
    <w:rsid w:val="000C12C0"/>
    <w:rsid w:val="000C16CB"/>
    <w:rsid w:val="000C17B7"/>
    <w:rsid w:val="000C26CA"/>
    <w:rsid w:val="000C2BD8"/>
    <w:rsid w:val="000C3298"/>
    <w:rsid w:val="000C3788"/>
    <w:rsid w:val="000C3855"/>
    <w:rsid w:val="000C3A8C"/>
    <w:rsid w:val="000C3C7D"/>
    <w:rsid w:val="000C49ED"/>
    <w:rsid w:val="000C51C7"/>
    <w:rsid w:val="000C560A"/>
    <w:rsid w:val="000C6404"/>
    <w:rsid w:val="000C69EB"/>
    <w:rsid w:val="000C71C2"/>
    <w:rsid w:val="000C72A8"/>
    <w:rsid w:val="000C7C40"/>
    <w:rsid w:val="000C7F97"/>
    <w:rsid w:val="000D100C"/>
    <w:rsid w:val="000D15BD"/>
    <w:rsid w:val="000D1791"/>
    <w:rsid w:val="000D1898"/>
    <w:rsid w:val="000D2E12"/>
    <w:rsid w:val="000D323B"/>
    <w:rsid w:val="000D4E72"/>
    <w:rsid w:val="000D62C4"/>
    <w:rsid w:val="000D7AF9"/>
    <w:rsid w:val="000E0419"/>
    <w:rsid w:val="000E0E2F"/>
    <w:rsid w:val="000E248B"/>
    <w:rsid w:val="000E3279"/>
    <w:rsid w:val="000E383B"/>
    <w:rsid w:val="000E3DC5"/>
    <w:rsid w:val="000E4B03"/>
    <w:rsid w:val="000E4F4C"/>
    <w:rsid w:val="000E75B3"/>
    <w:rsid w:val="000E7AC0"/>
    <w:rsid w:val="000E7DB0"/>
    <w:rsid w:val="000E7DE6"/>
    <w:rsid w:val="000E7FE2"/>
    <w:rsid w:val="000F06FC"/>
    <w:rsid w:val="000F1248"/>
    <w:rsid w:val="000F2712"/>
    <w:rsid w:val="000F2F26"/>
    <w:rsid w:val="000F34A3"/>
    <w:rsid w:val="000F48E9"/>
    <w:rsid w:val="000F72B5"/>
    <w:rsid w:val="00100E4B"/>
    <w:rsid w:val="00101078"/>
    <w:rsid w:val="00103B68"/>
    <w:rsid w:val="001049FA"/>
    <w:rsid w:val="00104B69"/>
    <w:rsid w:val="00106E51"/>
    <w:rsid w:val="00107053"/>
    <w:rsid w:val="001071DD"/>
    <w:rsid w:val="001100C0"/>
    <w:rsid w:val="00111CD6"/>
    <w:rsid w:val="001120B6"/>
    <w:rsid w:val="00112425"/>
    <w:rsid w:val="00115F60"/>
    <w:rsid w:val="00116050"/>
    <w:rsid w:val="0012015F"/>
    <w:rsid w:val="00121466"/>
    <w:rsid w:val="00121770"/>
    <w:rsid w:val="00121E39"/>
    <w:rsid w:val="00121F36"/>
    <w:rsid w:val="001221B3"/>
    <w:rsid w:val="00123944"/>
    <w:rsid w:val="00124C48"/>
    <w:rsid w:val="00125FE2"/>
    <w:rsid w:val="00126AB0"/>
    <w:rsid w:val="00127CEF"/>
    <w:rsid w:val="00130373"/>
    <w:rsid w:val="00130C1F"/>
    <w:rsid w:val="00131EF6"/>
    <w:rsid w:val="001322F3"/>
    <w:rsid w:val="001335ED"/>
    <w:rsid w:val="00134851"/>
    <w:rsid w:val="0013491C"/>
    <w:rsid w:val="0013534C"/>
    <w:rsid w:val="00136658"/>
    <w:rsid w:val="00141796"/>
    <w:rsid w:val="00141987"/>
    <w:rsid w:val="00142F2B"/>
    <w:rsid w:val="00143424"/>
    <w:rsid w:val="00143B7B"/>
    <w:rsid w:val="001448E4"/>
    <w:rsid w:val="0014516B"/>
    <w:rsid w:val="00145A50"/>
    <w:rsid w:val="0015115B"/>
    <w:rsid w:val="00152105"/>
    <w:rsid w:val="001526B7"/>
    <w:rsid w:val="001528A0"/>
    <w:rsid w:val="0015320A"/>
    <w:rsid w:val="001543AD"/>
    <w:rsid w:val="00154E2B"/>
    <w:rsid w:val="00155864"/>
    <w:rsid w:val="00155AC8"/>
    <w:rsid w:val="00155F42"/>
    <w:rsid w:val="0015669A"/>
    <w:rsid w:val="00156A7D"/>
    <w:rsid w:val="001574BB"/>
    <w:rsid w:val="00157A0D"/>
    <w:rsid w:val="00160409"/>
    <w:rsid w:val="001605F9"/>
    <w:rsid w:val="001609B5"/>
    <w:rsid w:val="00161F61"/>
    <w:rsid w:val="00163FDC"/>
    <w:rsid w:val="001646EC"/>
    <w:rsid w:val="00164D39"/>
    <w:rsid w:val="00164FB9"/>
    <w:rsid w:val="001661F3"/>
    <w:rsid w:val="0016628D"/>
    <w:rsid w:val="00166796"/>
    <w:rsid w:val="00167C90"/>
    <w:rsid w:val="001708FB"/>
    <w:rsid w:val="001721C0"/>
    <w:rsid w:val="00173B44"/>
    <w:rsid w:val="001747ED"/>
    <w:rsid w:val="001803AB"/>
    <w:rsid w:val="001803E6"/>
    <w:rsid w:val="00180BC3"/>
    <w:rsid w:val="001812B4"/>
    <w:rsid w:val="00182188"/>
    <w:rsid w:val="001826F6"/>
    <w:rsid w:val="00182A1C"/>
    <w:rsid w:val="001832CD"/>
    <w:rsid w:val="00184259"/>
    <w:rsid w:val="00184480"/>
    <w:rsid w:val="00185388"/>
    <w:rsid w:val="00186B72"/>
    <w:rsid w:val="001875BF"/>
    <w:rsid w:val="00187C69"/>
    <w:rsid w:val="001910DE"/>
    <w:rsid w:val="00193474"/>
    <w:rsid w:val="00195392"/>
    <w:rsid w:val="00195EC6"/>
    <w:rsid w:val="001A0AE1"/>
    <w:rsid w:val="001A1644"/>
    <w:rsid w:val="001A1B68"/>
    <w:rsid w:val="001A2A6D"/>
    <w:rsid w:val="001A4659"/>
    <w:rsid w:val="001B1C34"/>
    <w:rsid w:val="001B304C"/>
    <w:rsid w:val="001B3932"/>
    <w:rsid w:val="001B4270"/>
    <w:rsid w:val="001B4C5F"/>
    <w:rsid w:val="001B569F"/>
    <w:rsid w:val="001B6BB5"/>
    <w:rsid w:val="001B6FB8"/>
    <w:rsid w:val="001C0C2F"/>
    <w:rsid w:val="001C0D30"/>
    <w:rsid w:val="001C0F4B"/>
    <w:rsid w:val="001C1DAE"/>
    <w:rsid w:val="001C20ED"/>
    <w:rsid w:val="001C2514"/>
    <w:rsid w:val="001C2F53"/>
    <w:rsid w:val="001C3BEF"/>
    <w:rsid w:val="001C407A"/>
    <w:rsid w:val="001C40D4"/>
    <w:rsid w:val="001C44C2"/>
    <w:rsid w:val="001C5136"/>
    <w:rsid w:val="001C579D"/>
    <w:rsid w:val="001C6B90"/>
    <w:rsid w:val="001C78CA"/>
    <w:rsid w:val="001D173E"/>
    <w:rsid w:val="001D1B99"/>
    <w:rsid w:val="001D2F98"/>
    <w:rsid w:val="001D4624"/>
    <w:rsid w:val="001D489F"/>
    <w:rsid w:val="001D610F"/>
    <w:rsid w:val="001D78D2"/>
    <w:rsid w:val="001E228C"/>
    <w:rsid w:val="001E386E"/>
    <w:rsid w:val="001E3F5D"/>
    <w:rsid w:val="001E4B58"/>
    <w:rsid w:val="001E5589"/>
    <w:rsid w:val="001E61C3"/>
    <w:rsid w:val="001E626B"/>
    <w:rsid w:val="001E64C2"/>
    <w:rsid w:val="001E6727"/>
    <w:rsid w:val="001E705D"/>
    <w:rsid w:val="001F051A"/>
    <w:rsid w:val="001F192E"/>
    <w:rsid w:val="001F4005"/>
    <w:rsid w:val="001F457D"/>
    <w:rsid w:val="001F4CA2"/>
    <w:rsid w:val="001F567C"/>
    <w:rsid w:val="001F7D54"/>
    <w:rsid w:val="00200960"/>
    <w:rsid w:val="00200F91"/>
    <w:rsid w:val="00201E45"/>
    <w:rsid w:val="00202100"/>
    <w:rsid w:val="0020287E"/>
    <w:rsid w:val="002037A9"/>
    <w:rsid w:val="00203C71"/>
    <w:rsid w:val="00203E6A"/>
    <w:rsid w:val="00207E4B"/>
    <w:rsid w:val="0021062D"/>
    <w:rsid w:val="0021077E"/>
    <w:rsid w:val="00211338"/>
    <w:rsid w:val="002125B7"/>
    <w:rsid w:val="002129CB"/>
    <w:rsid w:val="00212ADE"/>
    <w:rsid w:val="0021344D"/>
    <w:rsid w:val="00214A23"/>
    <w:rsid w:val="00214D21"/>
    <w:rsid w:val="00214D6D"/>
    <w:rsid w:val="00214E21"/>
    <w:rsid w:val="0021537A"/>
    <w:rsid w:val="002163CC"/>
    <w:rsid w:val="0021680B"/>
    <w:rsid w:val="00217464"/>
    <w:rsid w:val="00217BF3"/>
    <w:rsid w:val="00220452"/>
    <w:rsid w:val="002208DC"/>
    <w:rsid w:val="00221AFB"/>
    <w:rsid w:val="002232E5"/>
    <w:rsid w:val="00223E5D"/>
    <w:rsid w:val="00224C8C"/>
    <w:rsid w:val="00225814"/>
    <w:rsid w:val="002265B8"/>
    <w:rsid w:val="0022665D"/>
    <w:rsid w:val="00226E29"/>
    <w:rsid w:val="00226E4F"/>
    <w:rsid w:val="0022792D"/>
    <w:rsid w:val="00227AC2"/>
    <w:rsid w:val="00230EE8"/>
    <w:rsid w:val="00231863"/>
    <w:rsid w:val="00231B38"/>
    <w:rsid w:val="0023279D"/>
    <w:rsid w:val="00233FFC"/>
    <w:rsid w:val="00235349"/>
    <w:rsid w:val="002356C8"/>
    <w:rsid w:val="002357A1"/>
    <w:rsid w:val="00235D42"/>
    <w:rsid w:val="00236109"/>
    <w:rsid w:val="00240DCA"/>
    <w:rsid w:val="002415AD"/>
    <w:rsid w:val="00242353"/>
    <w:rsid w:val="002423AF"/>
    <w:rsid w:val="002423E4"/>
    <w:rsid w:val="00242FBE"/>
    <w:rsid w:val="002436DD"/>
    <w:rsid w:val="00243891"/>
    <w:rsid w:val="0024390E"/>
    <w:rsid w:val="002445C2"/>
    <w:rsid w:val="00244CFE"/>
    <w:rsid w:val="00245496"/>
    <w:rsid w:val="00247AE6"/>
    <w:rsid w:val="0025056B"/>
    <w:rsid w:val="00250D1B"/>
    <w:rsid w:val="00251614"/>
    <w:rsid w:val="00252B2A"/>
    <w:rsid w:val="00253163"/>
    <w:rsid w:val="0025340D"/>
    <w:rsid w:val="002538EB"/>
    <w:rsid w:val="00253D80"/>
    <w:rsid w:val="00254735"/>
    <w:rsid w:val="0025517D"/>
    <w:rsid w:val="00256478"/>
    <w:rsid w:val="0026005B"/>
    <w:rsid w:val="00262306"/>
    <w:rsid w:val="002626FF"/>
    <w:rsid w:val="00264AB6"/>
    <w:rsid w:val="002650B1"/>
    <w:rsid w:val="00266248"/>
    <w:rsid w:val="00267AAF"/>
    <w:rsid w:val="002719C5"/>
    <w:rsid w:val="00272DBE"/>
    <w:rsid w:val="00272E5D"/>
    <w:rsid w:val="002739F2"/>
    <w:rsid w:val="00273E51"/>
    <w:rsid w:val="00275496"/>
    <w:rsid w:val="00275755"/>
    <w:rsid w:val="0028001F"/>
    <w:rsid w:val="00280892"/>
    <w:rsid w:val="00282510"/>
    <w:rsid w:val="00282B86"/>
    <w:rsid w:val="00283ADD"/>
    <w:rsid w:val="00284A86"/>
    <w:rsid w:val="00285507"/>
    <w:rsid w:val="00285DD9"/>
    <w:rsid w:val="0028671C"/>
    <w:rsid w:val="00287553"/>
    <w:rsid w:val="00287AE6"/>
    <w:rsid w:val="00290603"/>
    <w:rsid w:val="002923FB"/>
    <w:rsid w:val="00292645"/>
    <w:rsid w:val="00292958"/>
    <w:rsid w:val="00294321"/>
    <w:rsid w:val="0029472E"/>
    <w:rsid w:val="0029491E"/>
    <w:rsid w:val="00294E3D"/>
    <w:rsid w:val="00296573"/>
    <w:rsid w:val="002978BC"/>
    <w:rsid w:val="002A1B9C"/>
    <w:rsid w:val="002A20E6"/>
    <w:rsid w:val="002A2941"/>
    <w:rsid w:val="002A2C53"/>
    <w:rsid w:val="002A2EA5"/>
    <w:rsid w:val="002A79B8"/>
    <w:rsid w:val="002B0B23"/>
    <w:rsid w:val="002B14FA"/>
    <w:rsid w:val="002B1D64"/>
    <w:rsid w:val="002B2279"/>
    <w:rsid w:val="002B2E37"/>
    <w:rsid w:val="002B421C"/>
    <w:rsid w:val="002B48AF"/>
    <w:rsid w:val="002B610B"/>
    <w:rsid w:val="002B70FC"/>
    <w:rsid w:val="002C08F5"/>
    <w:rsid w:val="002C2513"/>
    <w:rsid w:val="002C2D7F"/>
    <w:rsid w:val="002C3A17"/>
    <w:rsid w:val="002C3BB4"/>
    <w:rsid w:val="002C3D4E"/>
    <w:rsid w:val="002C4231"/>
    <w:rsid w:val="002C4488"/>
    <w:rsid w:val="002C61BB"/>
    <w:rsid w:val="002C625F"/>
    <w:rsid w:val="002C713F"/>
    <w:rsid w:val="002D0182"/>
    <w:rsid w:val="002D02DC"/>
    <w:rsid w:val="002D28BD"/>
    <w:rsid w:val="002D2A96"/>
    <w:rsid w:val="002D2CEF"/>
    <w:rsid w:val="002D3EF2"/>
    <w:rsid w:val="002D402D"/>
    <w:rsid w:val="002D5D91"/>
    <w:rsid w:val="002D6CE2"/>
    <w:rsid w:val="002D6CE9"/>
    <w:rsid w:val="002D7FAF"/>
    <w:rsid w:val="002E09C7"/>
    <w:rsid w:val="002E10CB"/>
    <w:rsid w:val="002E2B95"/>
    <w:rsid w:val="002E4263"/>
    <w:rsid w:val="002E42D1"/>
    <w:rsid w:val="002E43CD"/>
    <w:rsid w:val="002E485F"/>
    <w:rsid w:val="002E4B00"/>
    <w:rsid w:val="002E5248"/>
    <w:rsid w:val="002E544B"/>
    <w:rsid w:val="002E565F"/>
    <w:rsid w:val="002E5D0F"/>
    <w:rsid w:val="002E6967"/>
    <w:rsid w:val="002F1387"/>
    <w:rsid w:val="002F20A0"/>
    <w:rsid w:val="002F2595"/>
    <w:rsid w:val="002F2C2C"/>
    <w:rsid w:val="002F4CB5"/>
    <w:rsid w:val="002F4DD0"/>
    <w:rsid w:val="002F63E2"/>
    <w:rsid w:val="00301064"/>
    <w:rsid w:val="00301438"/>
    <w:rsid w:val="00301C9C"/>
    <w:rsid w:val="003025A1"/>
    <w:rsid w:val="00303AA6"/>
    <w:rsid w:val="003043BD"/>
    <w:rsid w:val="0030487E"/>
    <w:rsid w:val="00305054"/>
    <w:rsid w:val="0030554C"/>
    <w:rsid w:val="00305A80"/>
    <w:rsid w:val="00306CD4"/>
    <w:rsid w:val="00311C31"/>
    <w:rsid w:val="00312B95"/>
    <w:rsid w:val="00312E55"/>
    <w:rsid w:val="00312FA7"/>
    <w:rsid w:val="003133F8"/>
    <w:rsid w:val="00313C42"/>
    <w:rsid w:val="00313CBA"/>
    <w:rsid w:val="00314716"/>
    <w:rsid w:val="003149D1"/>
    <w:rsid w:val="00315CBD"/>
    <w:rsid w:val="00316E93"/>
    <w:rsid w:val="00317FB0"/>
    <w:rsid w:val="003209BF"/>
    <w:rsid w:val="003214F9"/>
    <w:rsid w:val="00325370"/>
    <w:rsid w:val="003254E4"/>
    <w:rsid w:val="0032764B"/>
    <w:rsid w:val="003317E1"/>
    <w:rsid w:val="00332094"/>
    <w:rsid w:val="003325E1"/>
    <w:rsid w:val="00332684"/>
    <w:rsid w:val="003326FE"/>
    <w:rsid w:val="003329E3"/>
    <w:rsid w:val="00333837"/>
    <w:rsid w:val="0033432E"/>
    <w:rsid w:val="00334D37"/>
    <w:rsid w:val="00335286"/>
    <w:rsid w:val="0033570A"/>
    <w:rsid w:val="00337377"/>
    <w:rsid w:val="00337B56"/>
    <w:rsid w:val="00340353"/>
    <w:rsid w:val="00341909"/>
    <w:rsid w:val="00341B70"/>
    <w:rsid w:val="00343090"/>
    <w:rsid w:val="003432E7"/>
    <w:rsid w:val="00343E61"/>
    <w:rsid w:val="00343E79"/>
    <w:rsid w:val="00347094"/>
    <w:rsid w:val="0034711A"/>
    <w:rsid w:val="003471EE"/>
    <w:rsid w:val="00350565"/>
    <w:rsid w:val="00351B47"/>
    <w:rsid w:val="00352D05"/>
    <w:rsid w:val="00352D77"/>
    <w:rsid w:val="0035424D"/>
    <w:rsid w:val="0035478D"/>
    <w:rsid w:val="00356D63"/>
    <w:rsid w:val="00360010"/>
    <w:rsid w:val="00361575"/>
    <w:rsid w:val="00362B25"/>
    <w:rsid w:val="003642D2"/>
    <w:rsid w:val="003650B0"/>
    <w:rsid w:val="0036586B"/>
    <w:rsid w:val="0037097A"/>
    <w:rsid w:val="00370E3F"/>
    <w:rsid w:val="00373E8D"/>
    <w:rsid w:val="0037503E"/>
    <w:rsid w:val="00375FE0"/>
    <w:rsid w:val="00377417"/>
    <w:rsid w:val="003776F3"/>
    <w:rsid w:val="003808AC"/>
    <w:rsid w:val="00381B73"/>
    <w:rsid w:val="00382B2F"/>
    <w:rsid w:val="0038387C"/>
    <w:rsid w:val="0038390E"/>
    <w:rsid w:val="00383996"/>
    <w:rsid w:val="00383BAC"/>
    <w:rsid w:val="00383EE9"/>
    <w:rsid w:val="00384A67"/>
    <w:rsid w:val="00384ABC"/>
    <w:rsid w:val="00384BE1"/>
    <w:rsid w:val="00386036"/>
    <w:rsid w:val="00387043"/>
    <w:rsid w:val="00391BA7"/>
    <w:rsid w:val="00391F91"/>
    <w:rsid w:val="00391FD4"/>
    <w:rsid w:val="003926BA"/>
    <w:rsid w:val="00393138"/>
    <w:rsid w:val="003963B0"/>
    <w:rsid w:val="003A06A5"/>
    <w:rsid w:val="003A0AB8"/>
    <w:rsid w:val="003A11B4"/>
    <w:rsid w:val="003A25AD"/>
    <w:rsid w:val="003A2A5C"/>
    <w:rsid w:val="003A2F65"/>
    <w:rsid w:val="003A3F40"/>
    <w:rsid w:val="003A6BFB"/>
    <w:rsid w:val="003A7052"/>
    <w:rsid w:val="003A73AD"/>
    <w:rsid w:val="003B03A8"/>
    <w:rsid w:val="003B066A"/>
    <w:rsid w:val="003B23BA"/>
    <w:rsid w:val="003B2479"/>
    <w:rsid w:val="003B39F3"/>
    <w:rsid w:val="003B3CBD"/>
    <w:rsid w:val="003B5004"/>
    <w:rsid w:val="003B52E1"/>
    <w:rsid w:val="003B546F"/>
    <w:rsid w:val="003B5DDE"/>
    <w:rsid w:val="003B678C"/>
    <w:rsid w:val="003B6D84"/>
    <w:rsid w:val="003B6FA1"/>
    <w:rsid w:val="003B7350"/>
    <w:rsid w:val="003B797C"/>
    <w:rsid w:val="003B7C16"/>
    <w:rsid w:val="003C10AE"/>
    <w:rsid w:val="003C1CE9"/>
    <w:rsid w:val="003C207D"/>
    <w:rsid w:val="003C224D"/>
    <w:rsid w:val="003C2AE1"/>
    <w:rsid w:val="003C332E"/>
    <w:rsid w:val="003C3B6E"/>
    <w:rsid w:val="003C3D1C"/>
    <w:rsid w:val="003C4BE9"/>
    <w:rsid w:val="003C4CCF"/>
    <w:rsid w:val="003C5BFE"/>
    <w:rsid w:val="003C75F9"/>
    <w:rsid w:val="003D0097"/>
    <w:rsid w:val="003D0D84"/>
    <w:rsid w:val="003D124A"/>
    <w:rsid w:val="003D1D3F"/>
    <w:rsid w:val="003D2096"/>
    <w:rsid w:val="003D250E"/>
    <w:rsid w:val="003D2DCA"/>
    <w:rsid w:val="003D2F2B"/>
    <w:rsid w:val="003D411C"/>
    <w:rsid w:val="003D6405"/>
    <w:rsid w:val="003E0C48"/>
    <w:rsid w:val="003E1410"/>
    <w:rsid w:val="003E16A0"/>
    <w:rsid w:val="003E1AA6"/>
    <w:rsid w:val="003E20DA"/>
    <w:rsid w:val="003E3D1A"/>
    <w:rsid w:val="003E3D4E"/>
    <w:rsid w:val="003E45BF"/>
    <w:rsid w:val="003E4F2E"/>
    <w:rsid w:val="003E6539"/>
    <w:rsid w:val="003E65F7"/>
    <w:rsid w:val="003E6C9C"/>
    <w:rsid w:val="003F135C"/>
    <w:rsid w:val="003F1C45"/>
    <w:rsid w:val="003F2192"/>
    <w:rsid w:val="003F3A24"/>
    <w:rsid w:val="003F3D65"/>
    <w:rsid w:val="003F45DF"/>
    <w:rsid w:val="003F4A39"/>
    <w:rsid w:val="003F4F0A"/>
    <w:rsid w:val="003F5BDD"/>
    <w:rsid w:val="003F6621"/>
    <w:rsid w:val="003F6CB4"/>
    <w:rsid w:val="003F6D9C"/>
    <w:rsid w:val="003F75BE"/>
    <w:rsid w:val="0040030B"/>
    <w:rsid w:val="0040128D"/>
    <w:rsid w:val="00401597"/>
    <w:rsid w:val="00403AFC"/>
    <w:rsid w:val="00403C16"/>
    <w:rsid w:val="00407385"/>
    <w:rsid w:val="00407467"/>
    <w:rsid w:val="004105CE"/>
    <w:rsid w:val="004114C8"/>
    <w:rsid w:val="004129F2"/>
    <w:rsid w:val="00413A1C"/>
    <w:rsid w:val="004149AD"/>
    <w:rsid w:val="004156D6"/>
    <w:rsid w:val="00415E3E"/>
    <w:rsid w:val="00416BB0"/>
    <w:rsid w:val="00416DC0"/>
    <w:rsid w:val="004174EA"/>
    <w:rsid w:val="0042224D"/>
    <w:rsid w:val="00422487"/>
    <w:rsid w:val="004224E3"/>
    <w:rsid w:val="0042319B"/>
    <w:rsid w:val="00424532"/>
    <w:rsid w:val="0042503F"/>
    <w:rsid w:val="00425069"/>
    <w:rsid w:val="00425278"/>
    <w:rsid w:val="0042535E"/>
    <w:rsid w:val="00425523"/>
    <w:rsid w:val="00425EA2"/>
    <w:rsid w:val="00426473"/>
    <w:rsid w:val="004269CD"/>
    <w:rsid w:val="00426CE9"/>
    <w:rsid w:val="00431830"/>
    <w:rsid w:val="00431C8B"/>
    <w:rsid w:val="00431E70"/>
    <w:rsid w:val="004322E0"/>
    <w:rsid w:val="00432CC9"/>
    <w:rsid w:val="0043457A"/>
    <w:rsid w:val="00436249"/>
    <w:rsid w:val="00436576"/>
    <w:rsid w:val="00436BE2"/>
    <w:rsid w:val="00436D6D"/>
    <w:rsid w:val="00436E3D"/>
    <w:rsid w:val="00437217"/>
    <w:rsid w:val="00437234"/>
    <w:rsid w:val="004372A6"/>
    <w:rsid w:val="004374C6"/>
    <w:rsid w:val="004425EF"/>
    <w:rsid w:val="004430A9"/>
    <w:rsid w:val="00443697"/>
    <w:rsid w:val="00443D97"/>
    <w:rsid w:val="00444C66"/>
    <w:rsid w:val="00444EA8"/>
    <w:rsid w:val="004453EC"/>
    <w:rsid w:val="00445586"/>
    <w:rsid w:val="0044666D"/>
    <w:rsid w:val="00446989"/>
    <w:rsid w:val="004474C6"/>
    <w:rsid w:val="00447740"/>
    <w:rsid w:val="00450BD8"/>
    <w:rsid w:val="00450E0B"/>
    <w:rsid w:val="0045165C"/>
    <w:rsid w:val="00451685"/>
    <w:rsid w:val="004517CD"/>
    <w:rsid w:val="00452330"/>
    <w:rsid w:val="004526C5"/>
    <w:rsid w:val="00452A5D"/>
    <w:rsid w:val="00452F9B"/>
    <w:rsid w:val="00453BB7"/>
    <w:rsid w:val="00454928"/>
    <w:rsid w:val="00454ED0"/>
    <w:rsid w:val="00456B13"/>
    <w:rsid w:val="0045744E"/>
    <w:rsid w:val="00457905"/>
    <w:rsid w:val="0046107D"/>
    <w:rsid w:val="00461F72"/>
    <w:rsid w:val="0046251E"/>
    <w:rsid w:val="00465D6D"/>
    <w:rsid w:val="00465DC7"/>
    <w:rsid w:val="00467BCD"/>
    <w:rsid w:val="00472E3D"/>
    <w:rsid w:val="00472FCE"/>
    <w:rsid w:val="00473D4D"/>
    <w:rsid w:val="00474172"/>
    <w:rsid w:val="00474BBE"/>
    <w:rsid w:val="00474F62"/>
    <w:rsid w:val="0047699C"/>
    <w:rsid w:val="004769CB"/>
    <w:rsid w:val="0047700C"/>
    <w:rsid w:val="00477A1B"/>
    <w:rsid w:val="00480563"/>
    <w:rsid w:val="00480703"/>
    <w:rsid w:val="00482925"/>
    <w:rsid w:val="00482EF2"/>
    <w:rsid w:val="00483BAA"/>
    <w:rsid w:val="00483C1A"/>
    <w:rsid w:val="00483E2E"/>
    <w:rsid w:val="0048424D"/>
    <w:rsid w:val="00484766"/>
    <w:rsid w:val="004847EC"/>
    <w:rsid w:val="00487829"/>
    <w:rsid w:val="004907B4"/>
    <w:rsid w:val="00492072"/>
    <w:rsid w:val="00493C54"/>
    <w:rsid w:val="00494747"/>
    <w:rsid w:val="00494790"/>
    <w:rsid w:val="00494CAD"/>
    <w:rsid w:val="0049605E"/>
    <w:rsid w:val="00497EC1"/>
    <w:rsid w:val="004A0853"/>
    <w:rsid w:val="004A0C71"/>
    <w:rsid w:val="004A1312"/>
    <w:rsid w:val="004A1A30"/>
    <w:rsid w:val="004A531C"/>
    <w:rsid w:val="004A5411"/>
    <w:rsid w:val="004A6C11"/>
    <w:rsid w:val="004A6E95"/>
    <w:rsid w:val="004B05C0"/>
    <w:rsid w:val="004B1E37"/>
    <w:rsid w:val="004B2069"/>
    <w:rsid w:val="004B2188"/>
    <w:rsid w:val="004B2CFC"/>
    <w:rsid w:val="004B3D01"/>
    <w:rsid w:val="004B50E7"/>
    <w:rsid w:val="004B54F2"/>
    <w:rsid w:val="004B5575"/>
    <w:rsid w:val="004B624A"/>
    <w:rsid w:val="004B72AE"/>
    <w:rsid w:val="004B7ED7"/>
    <w:rsid w:val="004C034F"/>
    <w:rsid w:val="004C0675"/>
    <w:rsid w:val="004C0B84"/>
    <w:rsid w:val="004C0E51"/>
    <w:rsid w:val="004C16E6"/>
    <w:rsid w:val="004C1A36"/>
    <w:rsid w:val="004C373D"/>
    <w:rsid w:val="004C43D8"/>
    <w:rsid w:val="004C6092"/>
    <w:rsid w:val="004C6796"/>
    <w:rsid w:val="004D10C9"/>
    <w:rsid w:val="004D145F"/>
    <w:rsid w:val="004D17C5"/>
    <w:rsid w:val="004D1BDE"/>
    <w:rsid w:val="004D3785"/>
    <w:rsid w:val="004D3AB2"/>
    <w:rsid w:val="004D4116"/>
    <w:rsid w:val="004D6247"/>
    <w:rsid w:val="004D6631"/>
    <w:rsid w:val="004D6A17"/>
    <w:rsid w:val="004D6E72"/>
    <w:rsid w:val="004D74E2"/>
    <w:rsid w:val="004E1CFF"/>
    <w:rsid w:val="004E1DE9"/>
    <w:rsid w:val="004E20FA"/>
    <w:rsid w:val="004E29A2"/>
    <w:rsid w:val="004E30A3"/>
    <w:rsid w:val="004E6754"/>
    <w:rsid w:val="004E6D42"/>
    <w:rsid w:val="004E78CA"/>
    <w:rsid w:val="004F0AFF"/>
    <w:rsid w:val="004F178E"/>
    <w:rsid w:val="004F1E8D"/>
    <w:rsid w:val="004F460B"/>
    <w:rsid w:val="004F4B34"/>
    <w:rsid w:val="004F6508"/>
    <w:rsid w:val="004F6912"/>
    <w:rsid w:val="004F7468"/>
    <w:rsid w:val="0050072A"/>
    <w:rsid w:val="0050188F"/>
    <w:rsid w:val="0050249E"/>
    <w:rsid w:val="00503EBB"/>
    <w:rsid w:val="00504ABA"/>
    <w:rsid w:val="00505A53"/>
    <w:rsid w:val="00505F20"/>
    <w:rsid w:val="00506D47"/>
    <w:rsid w:val="0051022A"/>
    <w:rsid w:val="00510E6B"/>
    <w:rsid w:val="00513AA3"/>
    <w:rsid w:val="00513D42"/>
    <w:rsid w:val="00516186"/>
    <w:rsid w:val="00520DFB"/>
    <w:rsid w:val="00521794"/>
    <w:rsid w:val="00521B0A"/>
    <w:rsid w:val="0052277D"/>
    <w:rsid w:val="00523C2E"/>
    <w:rsid w:val="00523C82"/>
    <w:rsid w:val="005242AE"/>
    <w:rsid w:val="00526712"/>
    <w:rsid w:val="00530329"/>
    <w:rsid w:val="00530E29"/>
    <w:rsid w:val="00531BA9"/>
    <w:rsid w:val="00532929"/>
    <w:rsid w:val="00534087"/>
    <w:rsid w:val="00535163"/>
    <w:rsid w:val="00535340"/>
    <w:rsid w:val="00535948"/>
    <w:rsid w:val="00536E35"/>
    <w:rsid w:val="00537A13"/>
    <w:rsid w:val="0054091A"/>
    <w:rsid w:val="0054168A"/>
    <w:rsid w:val="00546EC1"/>
    <w:rsid w:val="00547C3C"/>
    <w:rsid w:val="00550E9E"/>
    <w:rsid w:val="00551E7A"/>
    <w:rsid w:val="005527FF"/>
    <w:rsid w:val="00552B63"/>
    <w:rsid w:val="00555AE9"/>
    <w:rsid w:val="00556AD0"/>
    <w:rsid w:val="005573D1"/>
    <w:rsid w:val="00557667"/>
    <w:rsid w:val="00560412"/>
    <w:rsid w:val="005631C3"/>
    <w:rsid w:val="00567794"/>
    <w:rsid w:val="00567F2C"/>
    <w:rsid w:val="00570799"/>
    <w:rsid w:val="00570B58"/>
    <w:rsid w:val="005718C2"/>
    <w:rsid w:val="00571DFF"/>
    <w:rsid w:val="00573A00"/>
    <w:rsid w:val="0057507D"/>
    <w:rsid w:val="00575F93"/>
    <w:rsid w:val="005767EE"/>
    <w:rsid w:val="0057770F"/>
    <w:rsid w:val="005810C2"/>
    <w:rsid w:val="0058136C"/>
    <w:rsid w:val="005814C7"/>
    <w:rsid w:val="005820EC"/>
    <w:rsid w:val="0058264B"/>
    <w:rsid w:val="00582733"/>
    <w:rsid w:val="0058338E"/>
    <w:rsid w:val="005840E1"/>
    <w:rsid w:val="00584D29"/>
    <w:rsid w:val="00584EC6"/>
    <w:rsid w:val="005858EA"/>
    <w:rsid w:val="00585A1C"/>
    <w:rsid w:val="00585F42"/>
    <w:rsid w:val="005864BF"/>
    <w:rsid w:val="005872DF"/>
    <w:rsid w:val="005878AD"/>
    <w:rsid w:val="00587AF6"/>
    <w:rsid w:val="00591C26"/>
    <w:rsid w:val="00592868"/>
    <w:rsid w:val="005941C2"/>
    <w:rsid w:val="0059739F"/>
    <w:rsid w:val="005A214D"/>
    <w:rsid w:val="005A64C0"/>
    <w:rsid w:val="005A6823"/>
    <w:rsid w:val="005A6C3A"/>
    <w:rsid w:val="005A6DE8"/>
    <w:rsid w:val="005B140A"/>
    <w:rsid w:val="005B1A62"/>
    <w:rsid w:val="005B1DA1"/>
    <w:rsid w:val="005B28C5"/>
    <w:rsid w:val="005B2D8D"/>
    <w:rsid w:val="005B353D"/>
    <w:rsid w:val="005B6191"/>
    <w:rsid w:val="005C0DE9"/>
    <w:rsid w:val="005C1128"/>
    <w:rsid w:val="005C1EB9"/>
    <w:rsid w:val="005C29E0"/>
    <w:rsid w:val="005C2F2C"/>
    <w:rsid w:val="005C4F05"/>
    <w:rsid w:val="005C58FE"/>
    <w:rsid w:val="005C65F3"/>
    <w:rsid w:val="005C66DC"/>
    <w:rsid w:val="005C6E35"/>
    <w:rsid w:val="005D00DE"/>
    <w:rsid w:val="005D05E1"/>
    <w:rsid w:val="005D1446"/>
    <w:rsid w:val="005D16EA"/>
    <w:rsid w:val="005D4E70"/>
    <w:rsid w:val="005D5FDE"/>
    <w:rsid w:val="005D668F"/>
    <w:rsid w:val="005D7059"/>
    <w:rsid w:val="005D716B"/>
    <w:rsid w:val="005D789D"/>
    <w:rsid w:val="005E041F"/>
    <w:rsid w:val="005E1E76"/>
    <w:rsid w:val="005E1E86"/>
    <w:rsid w:val="005E46B8"/>
    <w:rsid w:val="005E4AB5"/>
    <w:rsid w:val="005E5F19"/>
    <w:rsid w:val="005E6184"/>
    <w:rsid w:val="005E69F0"/>
    <w:rsid w:val="005E7699"/>
    <w:rsid w:val="005F04C3"/>
    <w:rsid w:val="005F0C33"/>
    <w:rsid w:val="005F1784"/>
    <w:rsid w:val="005F377B"/>
    <w:rsid w:val="005F3F8A"/>
    <w:rsid w:val="005F4AAF"/>
    <w:rsid w:val="005F5599"/>
    <w:rsid w:val="005F637C"/>
    <w:rsid w:val="005F6BD4"/>
    <w:rsid w:val="005F7224"/>
    <w:rsid w:val="00600382"/>
    <w:rsid w:val="00600477"/>
    <w:rsid w:val="00600584"/>
    <w:rsid w:val="00600CA2"/>
    <w:rsid w:val="00602B08"/>
    <w:rsid w:val="00603717"/>
    <w:rsid w:val="00603781"/>
    <w:rsid w:val="00603F8C"/>
    <w:rsid w:val="0060410E"/>
    <w:rsid w:val="00605890"/>
    <w:rsid w:val="0060641C"/>
    <w:rsid w:val="0060752D"/>
    <w:rsid w:val="006076A5"/>
    <w:rsid w:val="00607EC2"/>
    <w:rsid w:val="00610187"/>
    <w:rsid w:val="006104D5"/>
    <w:rsid w:val="0061068B"/>
    <w:rsid w:val="00610738"/>
    <w:rsid w:val="00611196"/>
    <w:rsid w:val="00611373"/>
    <w:rsid w:val="006116E6"/>
    <w:rsid w:val="00611991"/>
    <w:rsid w:val="00612238"/>
    <w:rsid w:val="006123C7"/>
    <w:rsid w:val="0061488C"/>
    <w:rsid w:val="0061534A"/>
    <w:rsid w:val="00616346"/>
    <w:rsid w:val="006178FD"/>
    <w:rsid w:val="00621F8C"/>
    <w:rsid w:val="00622545"/>
    <w:rsid w:val="006228FF"/>
    <w:rsid w:val="00623729"/>
    <w:rsid w:val="00623A91"/>
    <w:rsid w:val="00623C47"/>
    <w:rsid w:val="0062465C"/>
    <w:rsid w:val="00624AA9"/>
    <w:rsid w:val="006255E5"/>
    <w:rsid w:val="00625ED8"/>
    <w:rsid w:val="0062728D"/>
    <w:rsid w:val="00627E25"/>
    <w:rsid w:val="006331A4"/>
    <w:rsid w:val="0063533F"/>
    <w:rsid w:val="00635521"/>
    <w:rsid w:val="00635F4F"/>
    <w:rsid w:val="006408CB"/>
    <w:rsid w:val="006409D6"/>
    <w:rsid w:val="00640DFE"/>
    <w:rsid w:val="006416ED"/>
    <w:rsid w:val="006419BE"/>
    <w:rsid w:val="00642A55"/>
    <w:rsid w:val="00643EA0"/>
    <w:rsid w:val="00644907"/>
    <w:rsid w:val="00645CF2"/>
    <w:rsid w:val="006460D6"/>
    <w:rsid w:val="00646FDA"/>
    <w:rsid w:val="0065032A"/>
    <w:rsid w:val="0065035B"/>
    <w:rsid w:val="0065263D"/>
    <w:rsid w:val="00653C62"/>
    <w:rsid w:val="00653CFA"/>
    <w:rsid w:val="006560B0"/>
    <w:rsid w:val="00656172"/>
    <w:rsid w:val="00660E4E"/>
    <w:rsid w:val="00661F9A"/>
    <w:rsid w:val="006626E2"/>
    <w:rsid w:val="006668C2"/>
    <w:rsid w:val="00666EC5"/>
    <w:rsid w:val="0066792F"/>
    <w:rsid w:val="00670B28"/>
    <w:rsid w:val="00671781"/>
    <w:rsid w:val="006730A2"/>
    <w:rsid w:val="00673C37"/>
    <w:rsid w:val="0067470B"/>
    <w:rsid w:val="0067494E"/>
    <w:rsid w:val="006815BA"/>
    <w:rsid w:val="00681C3D"/>
    <w:rsid w:val="00682104"/>
    <w:rsid w:val="00682DA0"/>
    <w:rsid w:val="006837B4"/>
    <w:rsid w:val="0068632B"/>
    <w:rsid w:val="0068659B"/>
    <w:rsid w:val="00686B6E"/>
    <w:rsid w:val="006900BD"/>
    <w:rsid w:val="006901DE"/>
    <w:rsid w:val="00690942"/>
    <w:rsid w:val="00693B82"/>
    <w:rsid w:val="00694648"/>
    <w:rsid w:val="00695AA6"/>
    <w:rsid w:val="00695E93"/>
    <w:rsid w:val="00697054"/>
    <w:rsid w:val="00697241"/>
    <w:rsid w:val="006972AD"/>
    <w:rsid w:val="00697623"/>
    <w:rsid w:val="006A018C"/>
    <w:rsid w:val="006A069D"/>
    <w:rsid w:val="006A0B44"/>
    <w:rsid w:val="006A125C"/>
    <w:rsid w:val="006A4F7A"/>
    <w:rsid w:val="006A556E"/>
    <w:rsid w:val="006A5ED3"/>
    <w:rsid w:val="006A5FC2"/>
    <w:rsid w:val="006A6C4E"/>
    <w:rsid w:val="006A703F"/>
    <w:rsid w:val="006B0858"/>
    <w:rsid w:val="006B18CC"/>
    <w:rsid w:val="006B2D0C"/>
    <w:rsid w:val="006B304E"/>
    <w:rsid w:val="006B5ED2"/>
    <w:rsid w:val="006B6B05"/>
    <w:rsid w:val="006C2CA9"/>
    <w:rsid w:val="006C34C7"/>
    <w:rsid w:val="006C34C8"/>
    <w:rsid w:val="006C388B"/>
    <w:rsid w:val="006C3B26"/>
    <w:rsid w:val="006C4545"/>
    <w:rsid w:val="006C502B"/>
    <w:rsid w:val="006C5A81"/>
    <w:rsid w:val="006C5B6A"/>
    <w:rsid w:val="006C60D1"/>
    <w:rsid w:val="006C6D7E"/>
    <w:rsid w:val="006C6EE1"/>
    <w:rsid w:val="006D0F9A"/>
    <w:rsid w:val="006D1448"/>
    <w:rsid w:val="006D2228"/>
    <w:rsid w:val="006D2F6D"/>
    <w:rsid w:val="006D531E"/>
    <w:rsid w:val="006D5C56"/>
    <w:rsid w:val="006D61BD"/>
    <w:rsid w:val="006E1F31"/>
    <w:rsid w:val="006E5BD4"/>
    <w:rsid w:val="006E5D4F"/>
    <w:rsid w:val="006F06F0"/>
    <w:rsid w:val="006F1CF2"/>
    <w:rsid w:val="006F3551"/>
    <w:rsid w:val="006F4D28"/>
    <w:rsid w:val="006F5D45"/>
    <w:rsid w:val="006F63FB"/>
    <w:rsid w:val="006F711D"/>
    <w:rsid w:val="0070034F"/>
    <w:rsid w:val="00701163"/>
    <w:rsid w:val="0070137F"/>
    <w:rsid w:val="00702E18"/>
    <w:rsid w:val="00702E79"/>
    <w:rsid w:val="00703185"/>
    <w:rsid w:val="007031B2"/>
    <w:rsid w:val="00706FCD"/>
    <w:rsid w:val="00711ED0"/>
    <w:rsid w:val="00713052"/>
    <w:rsid w:val="00713A8F"/>
    <w:rsid w:val="00714AC1"/>
    <w:rsid w:val="00715176"/>
    <w:rsid w:val="0071529D"/>
    <w:rsid w:val="00716651"/>
    <w:rsid w:val="00716661"/>
    <w:rsid w:val="00716E04"/>
    <w:rsid w:val="00717246"/>
    <w:rsid w:val="00717E41"/>
    <w:rsid w:val="007200EC"/>
    <w:rsid w:val="007212BE"/>
    <w:rsid w:val="00723031"/>
    <w:rsid w:val="00726710"/>
    <w:rsid w:val="00727F9F"/>
    <w:rsid w:val="00731F7E"/>
    <w:rsid w:val="00733E6C"/>
    <w:rsid w:val="007349BB"/>
    <w:rsid w:val="00734D34"/>
    <w:rsid w:val="00735422"/>
    <w:rsid w:val="00740545"/>
    <w:rsid w:val="00740C36"/>
    <w:rsid w:val="00741930"/>
    <w:rsid w:val="00743825"/>
    <w:rsid w:val="0074541B"/>
    <w:rsid w:val="00750590"/>
    <w:rsid w:val="007508DA"/>
    <w:rsid w:val="00750E78"/>
    <w:rsid w:val="007513AF"/>
    <w:rsid w:val="00752AD5"/>
    <w:rsid w:val="00753808"/>
    <w:rsid w:val="00753B52"/>
    <w:rsid w:val="0075429C"/>
    <w:rsid w:val="007542F5"/>
    <w:rsid w:val="00757410"/>
    <w:rsid w:val="0076081D"/>
    <w:rsid w:val="00763237"/>
    <w:rsid w:val="00764181"/>
    <w:rsid w:val="0076433F"/>
    <w:rsid w:val="0076434D"/>
    <w:rsid w:val="00764BD0"/>
    <w:rsid w:val="00766AA8"/>
    <w:rsid w:val="007671E7"/>
    <w:rsid w:val="0076783D"/>
    <w:rsid w:val="0077014F"/>
    <w:rsid w:val="0077031D"/>
    <w:rsid w:val="007720A6"/>
    <w:rsid w:val="0077232D"/>
    <w:rsid w:val="00773705"/>
    <w:rsid w:val="007743FC"/>
    <w:rsid w:val="00774551"/>
    <w:rsid w:val="00774AD5"/>
    <w:rsid w:val="00774ED3"/>
    <w:rsid w:val="00775DBA"/>
    <w:rsid w:val="00775E9B"/>
    <w:rsid w:val="007765CD"/>
    <w:rsid w:val="00776FD0"/>
    <w:rsid w:val="0078281F"/>
    <w:rsid w:val="0078320B"/>
    <w:rsid w:val="00785254"/>
    <w:rsid w:val="007856BD"/>
    <w:rsid w:val="00785E31"/>
    <w:rsid w:val="00786D4F"/>
    <w:rsid w:val="00787AC9"/>
    <w:rsid w:val="00787B79"/>
    <w:rsid w:val="0079012C"/>
    <w:rsid w:val="0079053D"/>
    <w:rsid w:val="00791770"/>
    <w:rsid w:val="00791AEF"/>
    <w:rsid w:val="00791D26"/>
    <w:rsid w:val="007924A9"/>
    <w:rsid w:val="007926F8"/>
    <w:rsid w:val="00794964"/>
    <w:rsid w:val="007949C3"/>
    <w:rsid w:val="00795EE2"/>
    <w:rsid w:val="00796313"/>
    <w:rsid w:val="007A28A2"/>
    <w:rsid w:val="007A3B44"/>
    <w:rsid w:val="007A4272"/>
    <w:rsid w:val="007A5903"/>
    <w:rsid w:val="007B03B4"/>
    <w:rsid w:val="007B05C7"/>
    <w:rsid w:val="007B1680"/>
    <w:rsid w:val="007B223B"/>
    <w:rsid w:val="007B2E0F"/>
    <w:rsid w:val="007B3890"/>
    <w:rsid w:val="007B3BE0"/>
    <w:rsid w:val="007B454A"/>
    <w:rsid w:val="007B699A"/>
    <w:rsid w:val="007C190B"/>
    <w:rsid w:val="007C1BF2"/>
    <w:rsid w:val="007C3505"/>
    <w:rsid w:val="007C52D4"/>
    <w:rsid w:val="007C57FF"/>
    <w:rsid w:val="007C59DD"/>
    <w:rsid w:val="007C5FC3"/>
    <w:rsid w:val="007C659F"/>
    <w:rsid w:val="007C6AB4"/>
    <w:rsid w:val="007C7115"/>
    <w:rsid w:val="007C7E5B"/>
    <w:rsid w:val="007D018D"/>
    <w:rsid w:val="007D213B"/>
    <w:rsid w:val="007D38A6"/>
    <w:rsid w:val="007D39C5"/>
    <w:rsid w:val="007D41FC"/>
    <w:rsid w:val="007D45CE"/>
    <w:rsid w:val="007D4984"/>
    <w:rsid w:val="007D5BA6"/>
    <w:rsid w:val="007D67D3"/>
    <w:rsid w:val="007D70CC"/>
    <w:rsid w:val="007E01CF"/>
    <w:rsid w:val="007E0BF7"/>
    <w:rsid w:val="007E22A7"/>
    <w:rsid w:val="007E260D"/>
    <w:rsid w:val="007E3546"/>
    <w:rsid w:val="007E355B"/>
    <w:rsid w:val="007E36BC"/>
    <w:rsid w:val="007E382F"/>
    <w:rsid w:val="007E4466"/>
    <w:rsid w:val="007E4B3D"/>
    <w:rsid w:val="007E515F"/>
    <w:rsid w:val="007E6075"/>
    <w:rsid w:val="007E6CBE"/>
    <w:rsid w:val="007E6DEB"/>
    <w:rsid w:val="007E72C1"/>
    <w:rsid w:val="007F083E"/>
    <w:rsid w:val="007F0995"/>
    <w:rsid w:val="007F1784"/>
    <w:rsid w:val="007F54E7"/>
    <w:rsid w:val="007F5839"/>
    <w:rsid w:val="007F5917"/>
    <w:rsid w:val="007F59C3"/>
    <w:rsid w:val="007F5ADE"/>
    <w:rsid w:val="007F69DA"/>
    <w:rsid w:val="007F7795"/>
    <w:rsid w:val="007F7CBF"/>
    <w:rsid w:val="007F7E85"/>
    <w:rsid w:val="00801709"/>
    <w:rsid w:val="00801996"/>
    <w:rsid w:val="0080225C"/>
    <w:rsid w:val="00802776"/>
    <w:rsid w:val="00802BC5"/>
    <w:rsid w:val="0080369A"/>
    <w:rsid w:val="008042B0"/>
    <w:rsid w:val="00805239"/>
    <w:rsid w:val="00805288"/>
    <w:rsid w:val="008060DC"/>
    <w:rsid w:val="008060E7"/>
    <w:rsid w:val="00807058"/>
    <w:rsid w:val="00807F4A"/>
    <w:rsid w:val="008119BB"/>
    <w:rsid w:val="00813580"/>
    <w:rsid w:val="00813B68"/>
    <w:rsid w:val="00814CC2"/>
    <w:rsid w:val="0081738A"/>
    <w:rsid w:val="00821598"/>
    <w:rsid w:val="00821B85"/>
    <w:rsid w:val="00823500"/>
    <w:rsid w:val="00824897"/>
    <w:rsid w:val="00824D6D"/>
    <w:rsid w:val="0082502F"/>
    <w:rsid w:val="00825AB6"/>
    <w:rsid w:val="00827CCE"/>
    <w:rsid w:val="00827D2F"/>
    <w:rsid w:val="0083036F"/>
    <w:rsid w:val="00831697"/>
    <w:rsid w:val="00831C72"/>
    <w:rsid w:val="00831D29"/>
    <w:rsid w:val="0083313B"/>
    <w:rsid w:val="008343C2"/>
    <w:rsid w:val="00834759"/>
    <w:rsid w:val="008347F2"/>
    <w:rsid w:val="00835590"/>
    <w:rsid w:val="00836053"/>
    <w:rsid w:val="00836FA7"/>
    <w:rsid w:val="008409A9"/>
    <w:rsid w:val="008418DA"/>
    <w:rsid w:val="0084218F"/>
    <w:rsid w:val="00842DC6"/>
    <w:rsid w:val="00843B16"/>
    <w:rsid w:val="00843B5A"/>
    <w:rsid w:val="00845120"/>
    <w:rsid w:val="00845805"/>
    <w:rsid w:val="00846D15"/>
    <w:rsid w:val="00846DB0"/>
    <w:rsid w:val="00847157"/>
    <w:rsid w:val="00847160"/>
    <w:rsid w:val="00847FEA"/>
    <w:rsid w:val="00851421"/>
    <w:rsid w:val="00851C60"/>
    <w:rsid w:val="00852E5E"/>
    <w:rsid w:val="008536D3"/>
    <w:rsid w:val="00855818"/>
    <w:rsid w:val="00856374"/>
    <w:rsid w:val="008615B1"/>
    <w:rsid w:val="00861741"/>
    <w:rsid w:val="00862D2E"/>
    <w:rsid w:val="00863A57"/>
    <w:rsid w:val="008641E5"/>
    <w:rsid w:val="008649EB"/>
    <w:rsid w:val="00866833"/>
    <w:rsid w:val="00867252"/>
    <w:rsid w:val="008675D4"/>
    <w:rsid w:val="008679A3"/>
    <w:rsid w:val="00867D3A"/>
    <w:rsid w:val="00872031"/>
    <w:rsid w:val="008732EE"/>
    <w:rsid w:val="008734D5"/>
    <w:rsid w:val="008745B1"/>
    <w:rsid w:val="0087508C"/>
    <w:rsid w:val="00875BD1"/>
    <w:rsid w:val="008767A4"/>
    <w:rsid w:val="00877C16"/>
    <w:rsid w:val="00877D68"/>
    <w:rsid w:val="00880851"/>
    <w:rsid w:val="00881CB7"/>
    <w:rsid w:val="00882C77"/>
    <w:rsid w:val="008843D1"/>
    <w:rsid w:val="0088676F"/>
    <w:rsid w:val="00886F56"/>
    <w:rsid w:val="00890E87"/>
    <w:rsid w:val="00891014"/>
    <w:rsid w:val="0089196A"/>
    <w:rsid w:val="00892EA6"/>
    <w:rsid w:val="00892EE7"/>
    <w:rsid w:val="0089396D"/>
    <w:rsid w:val="00894DFF"/>
    <w:rsid w:val="0089744D"/>
    <w:rsid w:val="0089793D"/>
    <w:rsid w:val="00897F12"/>
    <w:rsid w:val="008A1F05"/>
    <w:rsid w:val="008A2D09"/>
    <w:rsid w:val="008A3122"/>
    <w:rsid w:val="008A51EA"/>
    <w:rsid w:val="008A52A6"/>
    <w:rsid w:val="008A5AE1"/>
    <w:rsid w:val="008A5C39"/>
    <w:rsid w:val="008A73B1"/>
    <w:rsid w:val="008A755C"/>
    <w:rsid w:val="008B02EC"/>
    <w:rsid w:val="008B10F9"/>
    <w:rsid w:val="008B22CF"/>
    <w:rsid w:val="008B5053"/>
    <w:rsid w:val="008B5566"/>
    <w:rsid w:val="008B6732"/>
    <w:rsid w:val="008C0330"/>
    <w:rsid w:val="008C076E"/>
    <w:rsid w:val="008C08E1"/>
    <w:rsid w:val="008C336E"/>
    <w:rsid w:val="008C3F76"/>
    <w:rsid w:val="008C485E"/>
    <w:rsid w:val="008D1D76"/>
    <w:rsid w:val="008D26A1"/>
    <w:rsid w:val="008D2734"/>
    <w:rsid w:val="008D2B5D"/>
    <w:rsid w:val="008D3F0B"/>
    <w:rsid w:val="008D467A"/>
    <w:rsid w:val="008D4722"/>
    <w:rsid w:val="008D4DF8"/>
    <w:rsid w:val="008D51EC"/>
    <w:rsid w:val="008D520A"/>
    <w:rsid w:val="008D5908"/>
    <w:rsid w:val="008D6F73"/>
    <w:rsid w:val="008D7BCC"/>
    <w:rsid w:val="008E1339"/>
    <w:rsid w:val="008E261A"/>
    <w:rsid w:val="008E480E"/>
    <w:rsid w:val="008E5645"/>
    <w:rsid w:val="008E5FA2"/>
    <w:rsid w:val="008E5FB3"/>
    <w:rsid w:val="008E670B"/>
    <w:rsid w:val="008E72BD"/>
    <w:rsid w:val="008E7862"/>
    <w:rsid w:val="008E7919"/>
    <w:rsid w:val="008F574A"/>
    <w:rsid w:val="008F5915"/>
    <w:rsid w:val="008F74B4"/>
    <w:rsid w:val="00901278"/>
    <w:rsid w:val="00901B7E"/>
    <w:rsid w:val="00902C7A"/>
    <w:rsid w:val="00903808"/>
    <w:rsid w:val="00904925"/>
    <w:rsid w:val="00904FEA"/>
    <w:rsid w:val="0090564D"/>
    <w:rsid w:val="00905DEC"/>
    <w:rsid w:val="009078F4"/>
    <w:rsid w:val="00907ADB"/>
    <w:rsid w:val="00907DF3"/>
    <w:rsid w:val="0091028D"/>
    <w:rsid w:val="00910601"/>
    <w:rsid w:val="009108A7"/>
    <w:rsid w:val="00910C7E"/>
    <w:rsid w:val="00911F6B"/>
    <w:rsid w:val="009127EC"/>
    <w:rsid w:val="00915CA0"/>
    <w:rsid w:val="00915CCC"/>
    <w:rsid w:val="00916319"/>
    <w:rsid w:val="0091692A"/>
    <w:rsid w:val="0092094C"/>
    <w:rsid w:val="00920BAB"/>
    <w:rsid w:val="00921BC0"/>
    <w:rsid w:val="009224C7"/>
    <w:rsid w:val="00923217"/>
    <w:rsid w:val="009261F6"/>
    <w:rsid w:val="00931603"/>
    <w:rsid w:val="00932B98"/>
    <w:rsid w:val="0093430B"/>
    <w:rsid w:val="0093448A"/>
    <w:rsid w:val="00936045"/>
    <w:rsid w:val="009363E3"/>
    <w:rsid w:val="00937487"/>
    <w:rsid w:val="00937DA3"/>
    <w:rsid w:val="00940D9D"/>
    <w:rsid w:val="00940DF3"/>
    <w:rsid w:val="00943106"/>
    <w:rsid w:val="009442CD"/>
    <w:rsid w:val="009462AD"/>
    <w:rsid w:val="00946741"/>
    <w:rsid w:val="00946DB5"/>
    <w:rsid w:val="00950536"/>
    <w:rsid w:val="00950F63"/>
    <w:rsid w:val="00951109"/>
    <w:rsid w:val="00953020"/>
    <w:rsid w:val="00953EDB"/>
    <w:rsid w:val="00954451"/>
    <w:rsid w:val="00954C56"/>
    <w:rsid w:val="009565CF"/>
    <w:rsid w:val="00957045"/>
    <w:rsid w:val="00960571"/>
    <w:rsid w:val="00960A8F"/>
    <w:rsid w:val="00961016"/>
    <w:rsid w:val="0096134A"/>
    <w:rsid w:val="00961D2B"/>
    <w:rsid w:val="00962FE2"/>
    <w:rsid w:val="00963489"/>
    <w:rsid w:val="00964C67"/>
    <w:rsid w:val="009652DF"/>
    <w:rsid w:val="00966EBC"/>
    <w:rsid w:val="0096752C"/>
    <w:rsid w:val="009709FD"/>
    <w:rsid w:val="00970BA0"/>
    <w:rsid w:val="00970F09"/>
    <w:rsid w:val="00971B85"/>
    <w:rsid w:val="00971E57"/>
    <w:rsid w:val="00972208"/>
    <w:rsid w:val="00972580"/>
    <w:rsid w:val="00976166"/>
    <w:rsid w:val="00980D37"/>
    <w:rsid w:val="0098207A"/>
    <w:rsid w:val="009828CE"/>
    <w:rsid w:val="009837E8"/>
    <w:rsid w:val="00983C9B"/>
    <w:rsid w:val="00986970"/>
    <w:rsid w:val="00990C5A"/>
    <w:rsid w:val="0099123D"/>
    <w:rsid w:val="00991AA8"/>
    <w:rsid w:val="00991DC1"/>
    <w:rsid w:val="00992FB5"/>
    <w:rsid w:val="0099301D"/>
    <w:rsid w:val="00993278"/>
    <w:rsid w:val="009937DD"/>
    <w:rsid w:val="009940D6"/>
    <w:rsid w:val="00994BAE"/>
    <w:rsid w:val="009952CE"/>
    <w:rsid w:val="00995A53"/>
    <w:rsid w:val="00996432"/>
    <w:rsid w:val="009966AF"/>
    <w:rsid w:val="0099698C"/>
    <w:rsid w:val="0099798F"/>
    <w:rsid w:val="009A0B81"/>
    <w:rsid w:val="009A201B"/>
    <w:rsid w:val="009A25F0"/>
    <w:rsid w:val="009A2F95"/>
    <w:rsid w:val="009A34D8"/>
    <w:rsid w:val="009A4ADA"/>
    <w:rsid w:val="009A571B"/>
    <w:rsid w:val="009A6675"/>
    <w:rsid w:val="009A6C17"/>
    <w:rsid w:val="009A73BB"/>
    <w:rsid w:val="009B17F9"/>
    <w:rsid w:val="009B1D2D"/>
    <w:rsid w:val="009B2F9E"/>
    <w:rsid w:val="009B32D9"/>
    <w:rsid w:val="009B4186"/>
    <w:rsid w:val="009B47D3"/>
    <w:rsid w:val="009B48DF"/>
    <w:rsid w:val="009B4A67"/>
    <w:rsid w:val="009B504E"/>
    <w:rsid w:val="009B59B8"/>
    <w:rsid w:val="009B61E3"/>
    <w:rsid w:val="009B653D"/>
    <w:rsid w:val="009B673E"/>
    <w:rsid w:val="009B7709"/>
    <w:rsid w:val="009C05C2"/>
    <w:rsid w:val="009C0E9C"/>
    <w:rsid w:val="009C61D1"/>
    <w:rsid w:val="009C64DE"/>
    <w:rsid w:val="009C65E5"/>
    <w:rsid w:val="009C6CAD"/>
    <w:rsid w:val="009C70AB"/>
    <w:rsid w:val="009C7E35"/>
    <w:rsid w:val="009D17BC"/>
    <w:rsid w:val="009D2D61"/>
    <w:rsid w:val="009D4FB8"/>
    <w:rsid w:val="009D536F"/>
    <w:rsid w:val="009D5F34"/>
    <w:rsid w:val="009D643B"/>
    <w:rsid w:val="009D6B73"/>
    <w:rsid w:val="009E1CE0"/>
    <w:rsid w:val="009E4E56"/>
    <w:rsid w:val="009E7F90"/>
    <w:rsid w:val="009F0010"/>
    <w:rsid w:val="009F0280"/>
    <w:rsid w:val="009F02C7"/>
    <w:rsid w:val="009F09C4"/>
    <w:rsid w:val="009F1868"/>
    <w:rsid w:val="009F1D69"/>
    <w:rsid w:val="009F1DF6"/>
    <w:rsid w:val="009F1FAD"/>
    <w:rsid w:val="009F2090"/>
    <w:rsid w:val="009F34E3"/>
    <w:rsid w:val="009F3CAB"/>
    <w:rsid w:val="009F42F3"/>
    <w:rsid w:val="009F69E0"/>
    <w:rsid w:val="009F7659"/>
    <w:rsid w:val="00A01E01"/>
    <w:rsid w:val="00A03B75"/>
    <w:rsid w:val="00A04F8F"/>
    <w:rsid w:val="00A06272"/>
    <w:rsid w:val="00A0632D"/>
    <w:rsid w:val="00A06E94"/>
    <w:rsid w:val="00A07985"/>
    <w:rsid w:val="00A11D1D"/>
    <w:rsid w:val="00A1298C"/>
    <w:rsid w:val="00A1313B"/>
    <w:rsid w:val="00A139A4"/>
    <w:rsid w:val="00A1565A"/>
    <w:rsid w:val="00A162EF"/>
    <w:rsid w:val="00A206BD"/>
    <w:rsid w:val="00A234F7"/>
    <w:rsid w:val="00A2392D"/>
    <w:rsid w:val="00A2454A"/>
    <w:rsid w:val="00A24B2D"/>
    <w:rsid w:val="00A25824"/>
    <w:rsid w:val="00A26171"/>
    <w:rsid w:val="00A26930"/>
    <w:rsid w:val="00A31C09"/>
    <w:rsid w:val="00A3232C"/>
    <w:rsid w:val="00A340AE"/>
    <w:rsid w:val="00A408A2"/>
    <w:rsid w:val="00A41CAB"/>
    <w:rsid w:val="00A42D82"/>
    <w:rsid w:val="00A4479B"/>
    <w:rsid w:val="00A4620B"/>
    <w:rsid w:val="00A466B6"/>
    <w:rsid w:val="00A467E0"/>
    <w:rsid w:val="00A46E6F"/>
    <w:rsid w:val="00A47E8B"/>
    <w:rsid w:val="00A5090B"/>
    <w:rsid w:val="00A51163"/>
    <w:rsid w:val="00A5140E"/>
    <w:rsid w:val="00A5228B"/>
    <w:rsid w:val="00A52699"/>
    <w:rsid w:val="00A529D3"/>
    <w:rsid w:val="00A52D03"/>
    <w:rsid w:val="00A52E51"/>
    <w:rsid w:val="00A542B9"/>
    <w:rsid w:val="00A55017"/>
    <w:rsid w:val="00A6053C"/>
    <w:rsid w:val="00A63EA5"/>
    <w:rsid w:val="00A64117"/>
    <w:rsid w:val="00A657A2"/>
    <w:rsid w:val="00A67102"/>
    <w:rsid w:val="00A67244"/>
    <w:rsid w:val="00A67AE0"/>
    <w:rsid w:val="00A71094"/>
    <w:rsid w:val="00A7128E"/>
    <w:rsid w:val="00A7153D"/>
    <w:rsid w:val="00A7238E"/>
    <w:rsid w:val="00A72512"/>
    <w:rsid w:val="00A73065"/>
    <w:rsid w:val="00A7366F"/>
    <w:rsid w:val="00A748BF"/>
    <w:rsid w:val="00A76384"/>
    <w:rsid w:val="00A767C5"/>
    <w:rsid w:val="00A77F00"/>
    <w:rsid w:val="00A82F18"/>
    <w:rsid w:val="00A838B5"/>
    <w:rsid w:val="00A84394"/>
    <w:rsid w:val="00A84AEF"/>
    <w:rsid w:val="00A8702C"/>
    <w:rsid w:val="00A92EF1"/>
    <w:rsid w:val="00A939CA"/>
    <w:rsid w:val="00A959FF"/>
    <w:rsid w:val="00A960F6"/>
    <w:rsid w:val="00AA47F2"/>
    <w:rsid w:val="00AA6A59"/>
    <w:rsid w:val="00AA6B43"/>
    <w:rsid w:val="00AA6BDF"/>
    <w:rsid w:val="00AA6BEB"/>
    <w:rsid w:val="00AA7078"/>
    <w:rsid w:val="00AA71D1"/>
    <w:rsid w:val="00AB0656"/>
    <w:rsid w:val="00AB21DA"/>
    <w:rsid w:val="00AB2768"/>
    <w:rsid w:val="00AB2E21"/>
    <w:rsid w:val="00AB34D4"/>
    <w:rsid w:val="00AB44F7"/>
    <w:rsid w:val="00AB4FF7"/>
    <w:rsid w:val="00AB599F"/>
    <w:rsid w:val="00AB6CE0"/>
    <w:rsid w:val="00AB7312"/>
    <w:rsid w:val="00AB7610"/>
    <w:rsid w:val="00AC01F8"/>
    <w:rsid w:val="00AC0843"/>
    <w:rsid w:val="00AC32ED"/>
    <w:rsid w:val="00AC507B"/>
    <w:rsid w:val="00AC50C8"/>
    <w:rsid w:val="00AC5B16"/>
    <w:rsid w:val="00AC724D"/>
    <w:rsid w:val="00AC7722"/>
    <w:rsid w:val="00AD0BD6"/>
    <w:rsid w:val="00AD2217"/>
    <w:rsid w:val="00AD2267"/>
    <w:rsid w:val="00AD3B79"/>
    <w:rsid w:val="00AD4B49"/>
    <w:rsid w:val="00AD4B5A"/>
    <w:rsid w:val="00AD62CE"/>
    <w:rsid w:val="00AD62F0"/>
    <w:rsid w:val="00AD6DB1"/>
    <w:rsid w:val="00AD6E06"/>
    <w:rsid w:val="00AD73F4"/>
    <w:rsid w:val="00AD744B"/>
    <w:rsid w:val="00AE0121"/>
    <w:rsid w:val="00AE0772"/>
    <w:rsid w:val="00AE0E5D"/>
    <w:rsid w:val="00AE5610"/>
    <w:rsid w:val="00AE5AAB"/>
    <w:rsid w:val="00AE5FC8"/>
    <w:rsid w:val="00AF0E7E"/>
    <w:rsid w:val="00AF1ACB"/>
    <w:rsid w:val="00AF3FDC"/>
    <w:rsid w:val="00AF619D"/>
    <w:rsid w:val="00AF6D3F"/>
    <w:rsid w:val="00AF6DA2"/>
    <w:rsid w:val="00AF71A2"/>
    <w:rsid w:val="00B00FFF"/>
    <w:rsid w:val="00B02340"/>
    <w:rsid w:val="00B02793"/>
    <w:rsid w:val="00B029E4"/>
    <w:rsid w:val="00B031FF"/>
    <w:rsid w:val="00B03ADB"/>
    <w:rsid w:val="00B04246"/>
    <w:rsid w:val="00B04B43"/>
    <w:rsid w:val="00B05955"/>
    <w:rsid w:val="00B05F89"/>
    <w:rsid w:val="00B06220"/>
    <w:rsid w:val="00B07D44"/>
    <w:rsid w:val="00B1092B"/>
    <w:rsid w:val="00B113AE"/>
    <w:rsid w:val="00B119ED"/>
    <w:rsid w:val="00B130CD"/>
    <w:rsid w:val="00B147EC"/>
    <w:rsid w:val="00B15300"/>
    <w:rsid w:val="00B16B4B"/>
    <w:rsid w:val="00B22AEB"/>
    <w:rsid w:val="00B233A8"/>
    <w:rsid w:val="00B25018"/>
    <w:rsid w:val="00B25077"/>
    <w:rsid w:val="00B2561D"/>
    <w:rsid w:val="00B26D41"/>
    <w:rsid w:val="00B3060E"/>
    <w:rsid w:val="00B3114D"/>
    <w:rsid w:val="00B31E17"/>
    <w:rsid w:val="00B32EF0"/>
    <w:rsid w:val="00B330AC"/>
    <w:rsid w:val="00B330EF"/>
    <w:rsid w:val="00B35666"/>
    <w:rsid w:val="00B35DB4"/>
    <w:rsid w:val="00B35FA2"/>
    <w:rsid w:val="00B36596"/>
    <w:rsid w:val="00B36F23"/>
    <w:rsid w:val="00B37686"/>
    <w:rsid w:val="00B378C4"/>
    <w:rsid w:val="00B40E1E"/>
    <w:rsid w:val="00B41868"/>
    <w:rsid w:val="00B41A8A"/>
    <w:rsid w:val="00B426BC"/>
    <w:rsid w:val="00B427E3"/>
    <w:rsid w:val="00B42F20"/>
    <w:rsid w:val="00B43415"/>
    <w:rsid w:val="00B43B29"/>
    <w:rsid w:val="00B4562C"/>
    <w:rsid w:val="00B456FC"/>
    <w:rsid w:val="00B45CFD"/>
    <w:rsid w:val="00B462FB"/>
    <w:rsid w:val="00B46864"/>
    <w:rsid w:val="00B473F0"/>
    <w:rsid w:val="00B478E5"/>
    <w:rsid w:val="00B5079D"/>
    <w:rsid w:val="00B52728"/>
    <w:rsid w:val="00B532A4"/>
    <w:rsid w:val="00B55920"/>
    <w:rsid w:val="00B56103"/>
    <w:rsid w:val="00B56F5C"/>
    <w:rsid w:val="00B5743E"/>
    <w:rsid w:val="00B5785B"/>
    <w:rsid w:val="00B57C5F"/>
    <w:rsid w:val="00B57FC5"/>
    <w:rsid w:val="00B60D93"/>
    <w:rsid w:val="00B61547"/>
    <w:rsid w:val="00B61D65"/>
    <w:rsid w:val="00B626B2"/>
    <w:rsid w:val="00B62FAB"/>
    <w:rsid w:val="00B64B53"/>
    <w:rsid w:val="00B64CA2"/>
    <w:rsid w:val="00B6650D"/>
    <w:rsid w:val="00B67127"/>
    <w:rsid w:val="00B6773B"/>
    <w:rsid w:val="00B6783B"/>
    <w:rsid w:val="00B7148A"/>
    <w:rsid w:val="00B718E8"/>
    <w:rsid w:val="00B7237B"/>
    <w:rsid w:val="00B72652"/>
    <w:rsid w:val="00B72BC8"/>
    <w:rsid w:val="00B73404"/>
    <w:rsid w:val="00B73843"/>
    <w:rsid w:val="00B73B71"/>
    <w:rsid w:val="00B73C7E"/>
    <w:rsid w:val="00B75586"/>
    <w:rsid w:val="00B76208"/>
    <w:rsid w:val="00B76A25"/>
    <w:rsid w:val="00B77571"/>
    <w:rsid w:val="00B80CCC"/>
    <w:rsid w:val="00B826B8"/>
    <w:rsid w:val="00B827BE"/>
    <w:rsid w:val="00B831DF"/>
    <w:rsid w:val="00B83ACD"/>
    <w:rsid w:val="00B860A9"/>
    <w:rsid w:val="00B90EA5"/>
    <w:rsid w:val="00B91475"/>
    <w:rsid w:val="00B91C90"/>
    <w:rsid w:val="00B92B93"/>
    <w:rsid w:val="00B92E5C"/>
    <w:rsid w:val="00B940BF"/>
    <w:rsid w:val="00B94109"/>
    <w:rsid w:val="00B94618"/>
    <w:rsid w:val="00B94F19"/>
    <w:rsid w:val="00B95581"/>
    <w:rsid w:val="00B95F83"/>
    <w:rsid w:val="00B961E3"/>
    <w:rsid w:val="00B97050"/>
    <w:rsid w:val="00B97423"/>
    <w:rsid w:val="00BA06BA"/>
    <w:rsid w:val="00BA0A46"/>
    <w:rsid w:val="00BA2180"/>
    <w:rsid w:val="00BA2A07"/>
    <w:rsid w:val="00BA3D7D"/>
    <w:rsid w:val="00BA46BC"/>
    <w:rsid w:val="00BA4921"/>
    <w:rsid w:val="00BA5218"/>
    <w:rsid w:val="00BA5C6B"/>
    <w:rsid w:val="00BA627E"/>
    <w:rsid w:val="00BA6419"/>
    <w:rsid w:val="00BA689F"/>
    <w:rsid w:val="00BA68AC"/>
    <w:rsid w:val="00BA7B0E"/>
    <w:rsid w:val="00BB034D"/>
    <w:rsid w:val="00BB0E2E"/>
    <w:rsid w:val="00BB190F"/>
    <w:rsid w:val="00BB3305"/>
    <w:rsid w:val="00BB47B6"/>
    <w:rsid w:val="00BB5A6C"/>
    <w:rsid w:val="00BB6BBD"/>
    <w:rsid w:val="00BB77E9"/>
    <w:rsid w:val="00BC0DBC"/>
    <w:rsid w:val="00BC0F69"/>
    <w:rsid w:val="00BC1144"/>
    <w:rsid w:val="00BC1838"/>
    <w:rsid w:val="00BC2C4E"/>
    <w:rsid w:val="00BC2EDA"/>
    <w:rsid w:val="00BC334E"/>
    <w:rsid w:val="00BC3FA7"/>
    <w:rsid w:val="00BC514D"/>
    <w:rsid w:val="00BC519B"/>
    <w:rsid w:val="00BD1602"/>
    <w:rsid w:val="00BD344D"/>
    <w:rsid w:val="00BD3B3F"/>
    <w:rsid w:val="00BD3E18"/>
    <w:rsid w:val="00BD47F1"/>
    <w:rsid w:val="00BD5CE7"/>
    <w:rsid w:val="00BD6325"/>
    <w:rsid w:val="00BD7961"/>
    <w:rsid w:val="00BE178B"/>
    <w:rsid w:val="00BE198E"/>
    <w:rsid w:val="00BE1F96"/>
    <w:rsid w:val="00BE28A7"/>
    <w:rsid w:val="00BE3D77"/>
    <w:rsid w:val="00BE3F58"/>
    <w:rsid w:val="00BE4393"/>
    <w:rsid w:val="00BE6C23"/>
    <w:rsid w:val="00BE76F8"/>
    <w:rsid w:val="00BE785B"/>
    <w:rsid w:val="00BE7B5E"/>
    <w:rsid w:val="00BE7D42"/>
    <w:rsid w:val="00BF040D"/>
    <w:rsid w:val="00BF10D8"/>
    <w:rsid w:val="00BF210F"/>
    <w:rsid w:val="00BF2444"/>
    <w:rsid w:val="00BF386A"/>
    <w:rsid w:val="00BF59D4"/>
    <w:rsid w:val="00BF5CB1"/>
    <w:rsid w:val="00BF5F15"/>
    <w:rsid w:val="00C00F02"/>
    <w:rsid w:val="00C01C2C"/>
    <w:rsid w:val="00C01E14"/>
    <w:rsid w:val="00C046D3"/>
    <w:rsid w:val="00C046EC"/>
    <w:rsid w:val="00C04A1A"/>
    <w:rsid w:val="00C05EC4"/>
    <w:rsid w:val="00C06139"/>
    <w:rsid w:val="00C107D3"/>
    <w:rsid w:val="00C108F9"/>
    <w:rsid w:val="00C11598"/>
    <w:rsid w:val="00C11B3A"/>
    <w:rsid w:val="00C11B5E"/>
    <w:rsid w:val="00C11C9D"/>
    <w:rsid w:val="00C13F20"/>
    <w:rsid w:val="00C166EF"/>
    <w:rsid w:val="00C16D42"/>
    <w:rsid w:val="00C203C9"/>
    <w:rsid w:val="00C20E13"/>
    <w:rsid w:val="00C22828"/>
    <w:rsid w:val="00C238AD"/>
    <w:rsid w:val="00C25C8C"/>
    <w:rsid w:val="00C26DAD"/>
    <w:rsid w:val="00C27A0F"/>
    <w:rsid w:val="00C30A27"/>
    <w:rsid w:val="00C3184C"/>
    <w:rsid w:val="00C31914"/>
    <w:rsid w:val="00C32810"/>
    <w:rsid w:val="00C331E0"/>
    <w:rsid w:val="00C364DB"/>
    <w:rsid w:val="00C407CF"/>
    <w:rsid w:val="00C40B01"/>
    <w:rsid w:val="00C414B7"/>
    <w:rsid w:val="00C41B54"/>
    <w:rsid w:val="00C42FAA"/>
    <w:rsid w:val="00C431E4"/>
    <w:rsid w:val="00C4526D"/>
    <w:rsid w:val="00C45537"/>
    <w:rsid w:val="00C459A0"/>
    <w:rsid w:val="00C45C53"/>
    <w:rsid w:val="00C45F4D"/>
    <w:rsid w:val="00C464D6"/>
    <w:rsid w:val="00C4708A"/>
    <w:rsid w:val="00C471D0"/>
    <w:rsid w:val="00C4747B"/>
    <w:rsid w:val="00C47B31"/>
    <w:rsid w:val="00C50F43"/>
    <w:rsid w:val="00C53050"/>
    <w:rsid w:val="00C5345C"/>
    <w:rsid w:val="00C54F24"/>
    <w:rsid w:val="00C55470"/>
    <w:rsid w:val="00C5560D"/>
    <w:rsid w:val="00C5586D"/>
    <w:rsid w:val="00C55CBC"/>
    <w:rsid w:val="00C55DF9"/>
    <w:rsid w:val="00C576D4"/>
    <w:rsid w:val="00C57C9B"/>
    <w:rsid w:val="00C616DE"/>
    <w:rsid w:val="00C61A9E"/>
    <w:rsid w:val="00C6227B"/>
    <w:rsid w:val="00C634A6"/>
    <w:rsid w:val="00C66716"/>
    <w:rsid w:val="00C66939"/>
    <w:rsid w:val="00C66C76"/>
    <w:rsid w:val="00C6791C"/>
    <w:rsid w:val="00C67A03"/>
    <w:rsid w:val="00C71927"/>
    <w:rsid w:val="00C7331D"/>
    <w:rsid w:val="00C73403"/>
    <w:rsid w:val="00C73C71"/>
    <w:rsid w:val="00C750AD"/>
    <w:rsid w:val="00C7644B"/>
    <w:rsid w:val="00C76921"/>
    <w:rsid w:val="00C77949"/>
    <w:rsid w:val="00C77972"/>
    <w:rsid w:val="00C77B0D"/>
    <w:rsid w:val="00C77DE1"/>
    <w:rsid w:val="00C80644"/>
    <w:rsid w:val="00C806BE"/>
    <w:rsid w:val="00C8072F"/>
    <w:rsid w:val="00C81005"/>
    <w:rsid w:val="00C82E21"/>
    <w:rsid w:val="00C83092"/>
    <w:rsid w:val="00C83AB1"/>
    <w:rsid w:val="00C84A72"/>
    <w:rsid w:val="00C85DCD"/>
    <w:rsid w:val="00C85F36"/>
    <w:rsid w:val="00C861D3"/>
    <w:rsid w:val="00C905AB"/>
    <w:rsid w:val="00C90DC0"/>
    <w:rsid w:val="00C91068"/>
    <w:rsid w:val="00C9342A"/>
    <w:rsid w:val="00C9383D"/>
    <w:rsid w:val="00C9387A"/>
    <w:rsid w:val="00C95636"/>
    <w:rsid w:val="00C9669E"/>
    <w:rsid w:val="00C978E8"/>
    <w:rsid w:val="00C97A61"/>
    <w:rsid w:val="00CA09E2"/>
    <w:rsid w:val="00CA0C39"/>
    <w:rsid w:val="00CA2891"/>
    <w:rsid w:val="00CA2E96"/>
    <w:rsid w:val="00CA32BC"/>
    <w:rsid w:val="00CA3B70"/>
    <w:rsid w:val="00CA3E1C"/>
    <w:rsid w:val="00CA4243"/>
    <w:rsid w:val="00CA4741"/>
    <w:rsid w:val="00CA4DD3"/>
    <w:rsid w:val="00CA4DFF"/>
    <w:rsid w:val="00CA564B"/>
    <w:rsid w:val="00CA5719"/>
    <w:rsid w:val="00CA650C"/>
    <w:rsid w:val="00CA69FF"/>
    <w:rsid w:val="00CB030C"/>
    <w:rsid w:val="00CB25E0"/>
    <w:rsid w:val="00CB27D0"/>
    <w:rsid w:val="00CB3164"/>
    <w:rsid w:val="00CB32FE"/>
    <w:rsid w:val="00CB3F1D"/>
    <w:rsid w:val="00CB562A"/>
    <w:rsid w:val="00CB56AB"/>
    <w:rsid w:val="00CB69E7"/>
    <w:rsid w:val="00CB6C24"/>
    <w:rsid w:val="00CB76C0"/>
    <w:rsid w:val="00CC06A0"/>
    <w:rsid w:val="00CC09D2"/>
    <w:rsid w:val="00CC0ED9"/>
    <w:rsid w:val="00CC28F3"/>
    <w:rsid w:val="00CC3320"/>
    <w:rsid w:val="00CC4447"/>
    <w:rsid w:val="00CC608A"/>
    <w:rsid w:val="00CC6393"/>
    <w:rsid w:val="00CC69E9"/>
    <w:rsid w:val="00CC6BCA"/>
    <w:rsid w:val="00CC7AB3"/>
    <w:rsid w:val="00CC7E70"/>
    <w:rsid w:val="00CD3E3E"/>
    <w:rsid w:val="00CD46D4"/>
    <w:rsid w:val="00CD5686"/>
    <w:rsid w:val="00CE146F"/>
    <w:rsid w:val="00CE3CFF"/>
    <w:rsid w:val="00CE48D1"/>
    <w:rsid w:val="00CE5807"/>
    <w:rsid w:val="00CE6D5C"/>
    <w:rsid w:val="00CF151C"/>
    <w:rsid w:val="00CF1804"/>
    <w:rsid w:val="00CF2702"/>
    <w:rsid w:val="00CF412D"/>
    <w:rsid w:val="00CF41A9"/>
    <w:rsid w:val="00CF4496"/>
    <w:rsid w:val="00CF51A3"/>
    <w:rsid w:val="00CF56AD"/>
    <w:rsid w:val="00CF5D85"/>
    <w:rsid w:val="00CF6071"/>
    <w:rsid w:val="00CF67AB"/>
    <w:rsid w:val="00CF78A0"/>
    <w:rsid w:val="00D0140E"/>
    <w:rsid w:val="00D03B08"/>
    <w:rsid w:val="00D04849"/>
    <w:rsid w:val="00D0558D"/>
    <w:rsid w:val="00D058B2"/>
    <w:rsid w:val="00D05AB2"/>
    <w:rsid w:val="00D05D62"/>
    <w:rsid w:val="00D06A36"/>
    <w:rsid w:val="00D07865"/>
    <w:rsid w:val="00D10A94"/>
    <w:rsid w:val="00D10AF4"/>
    <w:rsid w:val="00D11036"/>
    <w:rsid w:val="00D11170"/>
    <w:rsid w:val="00D118F6"/>
    <w:rsid w:val="00D12CB0"/>
    <w:rsid w:val="00D130C9"/>
    <w:rsid w:val="00D13813"/>
    <w:rsid w:val="00D14459"/>
    <w:rsid w:val="00D1450A"/>
    <w:rsid w:val="00D15B61"/>
    <w:rsid w:val="00D15D03"/>
    <w:rsid w:val="00D15F35"/>
    <w:rsid w:val="00D20CFC"/>
    <w:rsid w:val="00D21C41"/>
    <w:rsid w:val="00D2261C"/>
    <w:rsid w:val="00D25B65"/>
    <w:rsid w:val="00D25D63"/>
    <w:rsid w:val="00D26146"/>
    <w:rsid w:val="00D2655F"/>
    <w:rsid w:val="00D26AEA"/>
    <w:rsid w:val="00D325EC"/>
    <w:rsid w:val="00D32D87"/>
    <w:rsid w:val="00D37987"/>
    <w:rsid w:val="00D37E2F"/>
    <w:rsid w:val="00D37F15"/>
    <w:rsid w:val="00D41847"/>
    <w:rsid w:val="00D41FC9"/>
    <w:rsid w:val="00D42660"/>
    <w:rsid w:val="00D43C85"/>
    <w:rsid w:val="00D44718"/>
    <w:rsid w:val="00D45E7D"/>
    <w:rsid w:val="00D46B66"/>
    <w:rsid w:val="00D47E8B"/>
    <w:rsid w:val="00D51244"/>
    <w:rsid w:val="00D51535"/>
    <w:rsid w:val="00D52C82"/>
    <w:rsid w:val="00D54E69"/>
    <w:rsid w:val="00D5590D"/>
    <w:rsid w:val="00D56DDA"/>
    <w:rsid w:val="00D57D88"/>
    <w:rsid w:val="00D6042B"/>
    <w:rsid w:val="00D60E9A"/>
    <w:rsid w:val="00D626F4"/>
    <w:rsid w:val="00D63174"/>
    <w:rsid w:val="00D6357C"/>
    <w:rsid w:val="00D6409F"/>
    <w:rsid w:val="00D64641"/>
    <w:rsid w:val="00D64A3B"/>
    <w:rsid w:val="00D65A2F"/>
    <w:rsid w:val="00D65C9F"/>
    <w:rsid w:val="00D65DFE"/>
    <w:rsid w:val="00D6633F"/>
    <w:rsid w:val="00D6640C"/>
    <w:rsid w:val="00D667E9"/>
    <w:rsid w:val="00D66A39"/>
    <w:rsid w:val="00D676E2"/>
    <w:rsid w:val="00D67A67"/>
    <w:rsid w:val="00D71140"/>
    <w:rsid w:val="00D7257C"/>
    <w:rsid w:val="00D72837"/>
    <w:rsid w:val="00D72D48"/>
    <w:rsid w:val="00D7334E"/>
    <w:rsid w:val="00D74267"/>
    <w:rsid w:val="00D74CA5"/>
    <w:rsid w:val="00D75423"/>
    <w:rsid w:val="00D75730"/>
    <w:rsid w:val="00D76DB5"/>
    <w:rsid w:val="00D77258"/>
    <w:rsid w:val="00D77CBF"/>
    <w:rsid w:val="00D77FF9"/>
    <w:rsid w:val="00D80BF1"/>
    <w:rsid w:val="00D81643"/>
    <w:rsid w:val="00D8321F"/>
    <w:rsid w:val="00D83552"/>
    <w:rsid w:val="00D83A24"/>
    <w:rsid w:val="00D848FA"/>
    <w:rsid w:val="00D84BDA"/>
    <w:rsid w:val="00D86449"/>
    <w:rsid w:val="00D91797"/>
    <w:rsid w:val="00D91CE9"/>
    <w:rsid w:val="00D91F28"/>
    <w:rsid w:val="00D934BD"/>
    <w:rsid w:val="00D937ED"/>
    <w:rsid w:val="00D93A51"/>
    <w:rsid w:val="00D93CDB"/>
    <w:rsid w:val="00D9505E"/>
    <w:rsid w:val="00D958F2"/>
    <w:rsid w:val="00D95D81"/>
    <w:rsid w:val="00D95F06"/>
    <w:rsid w:val="00D96BEE"/>
    <w:rsid w:val="00D971D5"/>
    <w:rsid w:val="00D97C81"/>
    <w:rsid w:val="00DA0344"/>
    <w:rsid w:val="00DA156E"/>
    <w:rsid w:val="00DA3BA7"/>
    <w:rsid w:val="00DA4673"/>
    <w:rsid w:val="00DA79B6"/>
    <w:rsid w:val="00DB1B61"/>
    <w:rsid w:val="00DB1FBC"/>
    <w:rsid w:val="00DB22F6"/>
    <w:rsid w:val="00DB2B5B"/>
    <w:rsid w:val="00DB3428"/>
    <w:rsid w:val="00DB510F"/>
    <w:rsid w:val="00DB573D"/>
    <w:rsid w:val="00DB5B02"/>
    <w:rsid w:val="00DB7B5A"/>
    <w:rsid w:val="00DC2D80"/>
    <w:rsid w:val="00DC3279"/>
    <w:rsid w:val="00DC4071"/>
    <w:rsid w:val="00DC447C"/>
    <w:rsid w:val="00DC44B8"/>
    <w:rsid w:val="00DC49D9"/>
    <w:rsid w:val="00DC61F6"/>
    <w:rsid w:val="00DD2152"/>
    <w:rsid w:val="00DD24D0"/>
    <w:rsid w:val="00DD308A"/>
    <w:rsid w:val="00DD319F"/>
    <w:rsid w:val="00DD3E1A"/>
    <w:rsid w:val="00DD4847"/>
    <w:rsid w:val="00DD4CD4"/>
    <w:rsid w:val="00DD7595"/>
    <w:rsid w:val="00DD787D"/>
    <w:rsid w:val="00DE23C0"/>
    <w:rsid w:val="00DE3E81"/>
    <w:rsid w:val="00DE4253"/>
    <w:rsid w:val="00DE467D"/>
    <w:rsid w:val="00DE565D"/>
    <w:rsid w:val="00DE783B"/>
    <w:rsid w:val="00DF0DF7"/>
    <w:rsid w:val="00DF0EAC"/>
    <w:rsid w:val="00DF102C"/>
    <w:rsid w:val="00DF1953"/>
    <w:rsid w:val="00DF3046"/>
    <w:rsid w:val="00DF3D25"/>
    <w:rsid w:val="00DF3D76"/>
    <w:rsid w:val="00DF47B6"/>
    <w:rsid w:val="00DF5388"/>
    <w:rsid w:val="00DF61CB"/>
    <w:rsid w:val="00DF663B"/>
    <w:rsid w:val="00DF75A8"/>
    <w:rsid w:val="00DF79DA"/>
    <w:rsid w:val="00DF7FE5"/>
    <w:rsid w:val="00E016DB"/>
    <w:rsid w:val="00E03046"/>
    <w:rsid w:val="00E03C60"/>
    <w:rsid w:val="00E042DF"/>
    <w:rsid w:val="00E0563B"/>
    <w:rsid w:val="00E059E5"/>
    <w:rsid w:val="00E06C30"/>
    <w:rsid w:val="00E071BB"/>
    <w:rsid w:val="00E07A01"/>
    <w:rsid w:val="00E103C7"/>
    <w:rsid w:val="00E11780"/>
    <w:rsid w:val="00E1201E"/>
    <w:rsid w:val="00E14C36"/>
    <w:rsid w:val="00E15EC8"/>
    <w:rsid w:val="00E16A7F"/>
    <w:rsid w:val="00E16A8F"/>
    <w:rsid w:val="00E172F1"/>
    <w:rsid w:val="00E17B0E"/>
    <w:rsid w:val="00E17C94"/>
    <w:rsid w:val="00E219F6"/>
    <w:rsid w:val="00E25891"/>
    <w:rsid w:val="00E266B8"/>
    <w:rsid w:val="00E26C4F"/>
    <w:rsid w:val="00E3061F"/>
    <w:rsid w:val="00E33500"/>
    <w:rsid w:val="00E3517D"/>
    <w:rsid w:val="00E352F1"/>
    <w:rsid w:val="00E35FA6"/>
    <w:rsid w:val="00E361B2"/>
    <w:rsid w:val="00E36BE0"/>
    <w:rsid w:val="00E409A3"/>
    <w:rsid w:val="00E41200"/>
    <w:rsid w:val="00E417C9"/>
    <w:rsid w:val="00E41D44"/>
    <w:rsid w:val="00E4304A"/>
    <w:rsid w:val="00E4407A"/>
    <w:rsid w:val="00E464BD"/>
    <w:rsid w:val="00E470C2"/>
    <w:rsid w:val="00E475C3"/>
    <w:rsid w:val="00E50C8B"/>
    <w:rsid w:val="00E51C3B"/>
    <w:rsid w:val="00E51F96"/>
    <w:rsid w:val="00E53B50"/>
    <w:rsid w:val="00E571D1"/>
    <w:rsid w:val="00E6047C"/>
    <w:rsid w:val="00E60BBF"/>
    <w:rsid w:val="00E61AB7"/>
    <w:rsid w:val="00E665A8"/>
    <w:rsid w:val="00E67263"/>
    <w:rsid w:val="00E67B74"/>
    <w:rsid w:val="00E707F3"/>
    <w:rsid w:val="00E70CCC"/>
    <w:rsid w:val="00E72714"/>
    <w:rsid w:val="00E727D6"/>
    <w:rsid w:val="00E72F5E"/>
    <w:rsid w:val="00E74C90"/>
    <w:rsid w:val="00E7563E"/>
    <w:rsid w:val="00E7794E"/>
    <w:rsid w:val="00E8134F"/>
    <w:rsid w:val="00E83134"/>
    <w:rsid w:val="00E832A5"/>
    <w:rsid w:val="00E853A8"/>
    <w:rsid w:val="00E902BC"/>
    <w:rsid w:val="00E92611"/>
    <w:rsid w:val="00E928AC"/>
    <w:rsid w:val="00E92F99"/>
    <w:rsid w:val="00E93BA4"/>
    <w:rsid w:val="00E94A69"/>
    <w:rsid w:val="00E94BD0"/>
    <w:rsid w:val="00E95CF0"/>
    <w:rsid w:val="00E95E51"/>
    <w:rsid w:val="00E96153"/>
    <w:rsid w:val="00E96791"/>
    <w:rsid w:val="00E977C7"/>
    <w:rsid w:val="00EA07AB"/>
    <w:rsid w:val="00EA1145"/>
    <w:rsid w:val="00EA12B4"/>
    <w:rsid w:val="00EA2335"/>
    <w:rsid w:val="00EA2906"/>
    <w:rsid w:val="00EA3E75"/>
    <w:rsid w:val="00EA6CC1"/>
    <w:rsid w:val="00EA794E"/>
    <w:rsid w:val="00EB0AFD"/>
    <w:rsid w:val="00EB0E85"/>
    <w:rsid w:val="00EB2CA1"/>
    <w:rsid w:val="00EB3E6A"/>
    <w:rsid w:val="00EB46E5"/>
    <w:rsid w:val="00EB504E"/>
    <w:rsid w:val="00EB6572"/>
    <w:rsid w:val="00EB6596"/>
    <w:rsid w:val="00EB679A"/>
    <w:rsid w:val="00EC00FD"/>
    <w:rsid w:val="00EC060E"/>
    <w:rsid w:val="00EC1097"/>
    <w:rsid w:val="00EC1DD2"/>
    <w:rsid w:val="00EC264D"/>
    <w:rsid w:val="00EC2C4E"/>
    <w:rsid w:val="00EC2D37"/>
    <w:rsid w:val="00EC3E7E"/>
    <w:rsid w:val="00EC44CD"/>
    <w:rsid w:val="00EC6C90"/>
    <w:rsid w:val="00ED01DF"/>
    <w:rsid w:val="00ED06A3"/>
    <w:rsid w:val="00ED1407"/>
    <w:rsid w:val="00ED1592"/>
    <w:rsid w:val="00ED29CB"/>
    <w:rsid w:val="00ED3FD0"/>
    <w:rsid w:val="00ED58C0"/>
    <w:rsid w:val="00ED6BCC"/>
    <w:rsid w:val="00ED6BFD"/>
    <w:rsid w:val="00EE0796"/>
    <w:rsid w:val="00EE0FA4"/>
    <w:rsid w:val="00EE168E"/>
    <w:rsid w:val="00EE1C7B"/>
    <w:rsid w:val="00EE1E08"/>
    <w:rsid w:val="00EE2557"/>
    <w:rsid w:val="00EE2962"/>
    <w:rsid w:val="00EE3110"/>
    <w:rsid w:val="00EE4FB8"/>
    <w:rsid w:val="00EE5030"/>
    <w:rsid w:val="00EE5BC7"/>
    <w:rsid w:val="00EE5DA6"/>
    <w:rsid w:val="00EE5DE3"/>
    <w:rsid w:val="00EE7570"/>
    <w:rsid w:val="00EF2ADD"/>
    <w:rsid w:val="00EF4501"/>
    <w:rsid w:val="00EF4813"/>
    <w:rsid w:val="00EF68B6"/>
    <w:rsid w:val="00EF6CB6"/>
    <w:rsid w:val="00EF7FDD"/>
    <w:rsid w:val="00F02928"/>
    <w:rsid w:val="00F039F4"/>
    <w:rsid w:val="00F05781"/>
    <w:rsid w:val="00F0721D"/>
    <w:rsid w:val="00F102BE"/>
    <w:rsid w:val="00F107DA"/>
    <w:rsid w:val="00F10EA1"/>
    <w:rsid w:val="00F112A3"/>
    <w:rsid w:val="00F11339"/>
    <w:rsid w:val="00F12A0F"/>
    <w:rsid w:val="00F12AE9"/>
    <w:rsid w:val="00F12D01"/>
    <w:rsid w:val="00F12FFC"/>
    <w:rsid w:val="00F13B18"/>
    <w:rsid w:val="00F13E19"/>
    <w:rsid w:val="00F13EBA"/>
    <w:rsid w:val="00F1543C"/>
    <w:rsid w:val="00F154A8"/>
    <w:rsid w:val="00F15704"/>
    <w:rsid w:val="00F16F37"/>
    <w:rsid w:val="00F2134C"/>
    <w:rsid w:val="00F22758"/>
    <w:rsid w:val="00F23060"/>
    <w:rsid w:val="00F2529E"/>
    <w:rsid w:val="00F25CEC"/>
    <w:rsid w:val="00F26E42"/>
    <w:rsid w:val="00F26E68"/>
    <w:rsid w:val="00F26F1A"/>
    <w:rsid w:val="00F30C74"/>
    <w:rsid w:val="00F32FBD"/>
    <w:rsid w:val="00F33264"/>
    <w:rsid w:val="00F332B4"/>
    <w:rsid w:val="00F334E9"/>
    <w:rsid w:val="00F33573"/>
    <w:rsid w:val="00F34ECC"/>
    <w:rsid w:val="00F35230"/>
    <w:rsid w:val="00F37B72"/>
    <w:rsid w:val="00F406D8"/>
    <w:rsid w:val="00F41A81"/>
    <w:rsid w:val="00F42005"/>
    <w:rsid w:val="00F44195"/>
    <w:rsid w:val="00F4546C"/>
    <w:rsid w:val="00F462F8"/>
    <w:rsid w:val="00F47846"/>
    <w:rsid w:val="00F47992"/>
    <w:rsid w:val="00F47BF4"/>
    <w:rsid w:val="00F50913"/>
    <w:rsid w:val="00F5091E"/>
    <w:rsid w:val="00F54296"/>
    <w:rsid w:val="00F54C43"/>
    <w:rsid w:val="00F55062"/>
    <w:rsid w:val="00F556C9"/>
    <w:rsid w:val="00F55CBF"/>
    <w:rsid w:val="00F5722C"/>
    <w:rsid w:val="00F572DA"/>
    <w:rsid w:val="00F5754F"/>
    <w:rsid w:val="00F57853"/>
    <w:rsid w:val="00F60A32"/>
    <w:rsid w:val="00F60C59"/>
    <w:rsid w:val="00F61048"/>
    <w:rsid w:val="00F61F99"/>
    <w:rsid w:val="00F620D0"/>
    <w:rsid w:val="00F626D5"/>
    <w:rsid w:val="00F64222"/>
    <w:rsid w:val="00F656BC"/>
    <w:rsid w:val="00F664BF"/>
    <w:rsid w:val="00F70698"/>
    <w:rsid w:val="00F70ABA"/>
    <w:rsid w:val="00F71BA3"/>
    <w:rsid w:val="00F71E75"/>
    <w:rsid w:val="00F72999"/>
    <w:rsid w:val="00F72D4C"/>
    <w:rsid w:val="00F72F09"/>
    <w:rsid w:val="00F734E5"/>
    <w:rsid w:val="00F73AE8"/>
    <w:rsid w:val="00F74202"/>
    <w:rsid w:val="00F749D3"/>
    <w:rsid w:val="00F74C27"/>
    <w:rsid w:val="00F74E9D"/>
    <w:rsid w:val="00F76626"/>
    <w:rsid w:val="00F77BB8"/>
    <w:rsid w:val="00F77D35"/>
    <w:rsid w:val="00F81C8C"/>
    <w:rsid w:val="00F82167"/>
    <w:rsid w:val="00F8295E"/>
    <w:rsid w:val="00F83788"/>
    <w:rsid w:val="00F83C20"/>
    <w:rsid w:val="00F84390"/>
    <w:rsid w:val="00F85067"/>
    <w:rsid w:val="00F85545"/>
    <w:rsid w:val="00F86C4C"/>
    <w:rsid w:val="00F86FC3"/>
    <w:rsid w:val="00F86FD8"/>
    <w:rsid w:val="00F91B42"/>
    <w:rsid w:val="00F92ECA"/>
    <w:rsid w:val="00F93279"/>
    <w:rsid w:val="00F933D2"/>
    <w:rsid w:val="00F94A67"/>
    <w:rsid w:val="00F95704"/>
    <w:rsid w:val="00F9627C"/>
    <w:rsid w:val="00F96F2F"/>
    <w:rsid w:val="00F97DC3"/>
    <w:rsid w:val="00F97E9F"/>
    <w:rsid w:val="00FA0C48"/>
    <w:rsid w:val="00FA0E00"/>
    <w:rsid w:val="00FA2581"/>
    <w:rsid w:val="00FA2E4B"/>
    <w:rsid w:val="00FA39FF"/>
    <w:rsid w:val="00FA3A40"/>
    <w:rsid w:val="00FA627E"/>
    <w:rsid w:val="00FA6565"/>
    <w:rsid w:val="00FA6C6B"/>
    <w:rsid w:val="00FA6C7E"/>
    <w:rsid w:val="00FB1483"/>
    <w:rsid w:val="00FB16E2"/>
    <w:rsid w:val="00FB49C5"/>
    <w:rsid w:val="00FB4CEC"/>
    <w:rsid w:val="00FB572B"/>
    <w:rsid w:val="00FB64C4"/>
    <w:rsid w:val="00FC0102"/>
    <w:rsid w:val="00FC10A8"/>
    <w:rsid w:val="00FC1285"/>
    <w:rsid w:val="00FC2008"/>
    <w:rsid w:val="00FC258A"/>
    <w:rsid w:val="00FC3187"/>
    <w:rsid w:val="00FC36DB"/>
    <w:rsid w:val="00FC4235"/>
    <w:rsid w:val="00FC4BF4"/>
    <w:rsid w:val="00FC60C4"/>
    <w:rsid w:val="00FC61D1"/>
    <w:rsid w:val="00FC6AC7"/>
    <w:rsid w:val="00FC70C5"/>
    <w:rsid w:val="00FC7EF9"/>
    <w:rsid w:val="00FD1503"/>
    <w:rsid w:val="00FD2F7C"/>
    <w:rsid w:val="00FD30CB"/>
    <w:rsid w:val="00FD30D1"/>
    <w:rsid w:val="00FD3F91"/>
    <w:rsid w:val="00FD5536"/>
    <w:rsid w:val="00FD58A2"/>
    <w:rsid w:val="00FD59A4"/>
    <w:rsid w:val="00FD77CC"/>
    <w:rsid w:val="00FD7F11"/>
    <w:rsid w:val="00FE0731"/>
    <w:rsid w:val="00FE0B8C"/>
    <w:rsid w:val="00FE0FD0"/>
    <w:rsid w:val="00FE14E2"/>
    <w:rsid w:val="00FE33F6"/>
    <w:rsid w:val="00FE347F"/>
    <w:rsid w:val="00FE470A"/>
    <w:rsid w:val="00FE5527"/>
    <w:rsid w:val="00FE5C7B"/>
    <w:rsid w:val="00FE67D5"/>
    <w:rsid w:val="00FE6961"/>
    <w:rsid w:val="00FE6A5A"/>
    <w:rsid w:val="00FE6DA0"/>
    <w:rsid w:val="00FF01E1"/>
    <w:rsid w:val="00FF0895"/>
    <w:rsid w:val="00FF08CD"/>
    <w:rsid w:val="00FF2F33"/>
    <w:rsid w:val="00FF2F5A"/>
    <w:rsid w:val="00FF31B3"/>
    <w:rsid w:val="00FF4A35"/>
    <w:rsid w:val="00FF51F9"/>
    <w:rsid w:val="00FF79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04"/>
    <w:rPr>
      <w:rFonts w:ascii="Tahoma" w:hAnsi="Tahoma" w:cs="Tahoma"/>
    </w:rPr>
  </w:style>
  <w:style w:type="paragraph" w:styleId="Ttulo5">
    <w:name w:val="heading 5"/>
    <w:basedOn w:val="Normal"/>
    <w:next w:val="Normal"/>
    <w:link w:val="Ttulo5Car"/>
    <w:uiPriority w:val="99"/>
    <w:qFormat/>
    <w:rsid w:val="00716E04"/>
    <w:pPr>
      <w:keepNext/>
      <w:spacing w:line="360" w:lineRule="auto"/>
      <w:jc w:val="both"/>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semiHidden/>
    <w:locked/>
    <w:rsid w:val="00262306"/>
    <w:rPr>
      <w:rFonts w:ascii="Calibri" w:hAnsi="Calibri" w:cs="Calibri"/>
      <w:b/>
      <w:bCs/>
      <w:i/>
      <w:iCs/>
      <w:sz w:val="26"/>
      <w:szCs w:val="26"/>
    </w:rPr>
  </w:style>
  <w:style w:type="paragraph" w:styleId="Textocomentario">
    <w:name w:val="annotation text"/>
    <w:basedOn w:val="Normal"/>
    <w:link w:val="TextocomentarioCar"/>
    <w:uiPriority w:val="99"/>
    <w:semiHidden/>
    <w:rsid w:val="00716E04"/>
    <w:rPr>
      <w:rFonts w:ascii="Garmond (W1)" w:hAnsi="Garmond (W1)" w:cs="Garmond (W1)"/>
      <w:lang w:val="es-ES_tradnl"/>
    </w:rPr>
  </w:style>
  <w:style w:type="character" w:customStyle="1" w:styleId="TextocomentarioCar">
    <w:name w:val="Texto comentario Car"/>
    <w:basedOn w:val="Fuentedeprrafopredeter"/>
    <w:link w:val="Textocomentario"/>
    <w:uiPriority w:val="99"/>
    <w:semiHidden/>
    <w:locked/>
    <w:rsid w:val="00262306"/>
    <w:rPr>
      <w:rFonts w:ascii="Tahoma" w:hAnsi="Tahoma" w:cs="Tahoma"/>
      <w:sz w:val="20"/>
      <w:szCs w:val="20"/>
    </w:rPr>
  </w:style>
  <w:style w:type="paragraph" w:styleId="Sangradetextonormal">
    <w:name w:val="Body Text Indent"/>
    <w:basedOn w:val="Normal"/>
    <w:link w:val="SangradetextonormalCar"/>
    <w:uiPriority w:val="99"/>
    <w:rsid w:val="00716E04"/>
    <w:pPr>
      <w:spacing w:line="360" w:lineRule="auto"/>
      <w:ind w:firstLine="851"/>
      <w:jc w:val="both"/>
    </w:pPr>
  </w:style>
  <w:style w:type="character" w:customStyle="1" w:styleId="SangradetextonormalCar">
    <w:name w:val="Sangría de texto normal Car"/>
    <w:basedOn w:val="Fuentedeprrafopredeter"/>
    <w:link w:val="Sangradetextonormal"/>
    <w:uiPriority w:val="99"/>
    <w:semiHidden/>
    <w:locked/>
    <w:rsid w:val="00262306"/>
    <w:rPr>
      <w:rFonts w:ascii="Tahoma" w:hAnsi="Tahoma" w:cs="Tahoma"/>
      <w:sz w:val="20"/>
      <w:szCs w:val="20"/>
    </w:rPr>
  </w:style>
  <w:style w:type="paragraph" w:styleId="Textoindependiente2">
    <w:name w:val="Body Text 2"/>
    <w:basedOn w:val="Normal"/>
    <w:link w:val="Textoindependiente2Car"/>
    <w:uiPriority w:val="99"/>
    <w:rsid w:val="00716E04"/>
    <w:pPr>
      <w:pBdr>
        <w:bottom w:val="single" w:sz="4" w:space="1" w:color="auto"/>
      </w:pBdr>
      <w:spacing w:line="360" w:lineRule="auto"/>
    </w:pPr>
  </w:style>
  <w:style w:type="character" w:customStyle="1" w:styleId="Textoindependiente2Car">
    <w:name w:val="Texto independiente 2 Car"/>
    <w:basedOn w:val="Fuentedeprrafopredeter"/>
    <w:link w:val="Textoindependiente2"/>
    <w:uiPriority w:val="99"/>
    <w:semiHidden/>
    <w:locked/>
    <w:rsid w:val="00262306"/>
    <w:rPr>
      <w:rFonts w:ascii="Tahoma" w:hAnsi="Tahoma" w:cs="Tahoma"/>
      <w:sz w:val="20"/>
      <w:szCs w:val="20"/>
    </w:rPr>
  </w:style>
  <w:style w:type="paragraph" w:styleId="Textoindependiente3">
    <w:name w:val="Body Text 3"/>
    <w:basedOn w:val="Normal"/>
    <w:link w:val="Textoindependiente3Car"/>
    <w:uiPriority w:val="99"/>
    <w:rsid w:val="00716E04"/>
    <w:pPr>
      <w:spacing w:line="360" w:lineRule="auto"/>
      <w:jc w:val="both"/>
    </w:pPr>
  </w:style>
  <w:style w:type="character" w:customStyle="1" w:styleId="Textoindependiente3Car">
    <w:name w:val="Texto independiente 3 Car"/>
    <w:basedOn w:val="Fuentedeprrafopredeter"/>
    <w:link w:val="Textoindependiente3"/>
    <w:uiPriority w:val="99"/>
    <w:semiHidden/>
    <w:locked/>
    <w:rsid w:val="00262306"/>
    <w:rPr>
      <w:rFonts w:ascii="Tahoma" w:hAnsi="Tahoma" w:cs="Tahoma"/>
      <w:sz w:val="16"/>
      <w:szCs w:val="16"/>
    </w:rPr>
  </w:style>
  <w:style w:type="paragraph" w:styleId="Sangra3detindependiente">
    <w:name w:val="Body Text Indent 3"/>
    <w:basedOn w:val="Normal"/>
    <w:link w:val="Sangra3detindependienteCar"/>
    <w:uiPriority w:val="99"/>
    <w:rsid w:val="00716E04"/>
    <w:pPr>
      <w:spacing w:line="360" w:lineRule="auto"/>
      <w:ind w:firstLine="709"/>
      <w:jc w:val="both"/>
    </w:pPr>
  </w:style>
  <w:style w:type="character" w:customStyle="1" w:styleId="Sangra3detindependienteCar">
    <w:name w:val="Sangría 3 de t. independiente Car"/>
    <w:basedOn w:val="Fuentedeprrafopredeter"/>
    <w:link w:val="Sangra3detindependiente"/>
    <w:uiPriority w:val="99"/>
    <w:semiHidden/>
    <w:locked/>
    <w:rsid w:val="00262306"/>
    <w:rPr>
      <w:rFonts w:ascii="Tahoma" w:hAnsi="Tahoma" w:cs="Tahoma"/>
      <w:sz w:val="16"/>
      <w:szCs w:val="16"/>
    </w:rPr>
  </w:style>
  <w:style w:type="character" w:styleId="Hipervnculo">
    <w:name w:val="Hyperlink"/>
    <w:basedOn w:val="Fuentedeprrafopredeter"/>
    <w:uiPriority w:val="99"/>
    <w:rsid w:val="00635F4F"/>
    <w:rPr>
      <w:color w:val="auto"/>
      <w:u w:val="none"/>
      <w:effect w:val="none"/>
    </w:rPr>
  </w:style>
  <w:style w:type="paragraph" w:styleId="Piedepgina">
    <w:name w:val="footer"/>
    <w:basedOn w:val="Normal"/>
    <w:link w:val="PiedepginaCar"/>
    <w:uiPriority w:val="99"/>
    <w:rsid w:val="005B353D"/>
    <w:pPr>
      <w:tabs>
        <w:tab w:val="center" w:pos="4252"/>
        <w:tab w:val="right" w:pos="8504"/>
      </w:tabs>
    </w:pPr>
  </w:style>
  <w:style w:type="character" w:customStyle="1" w:styleId="PiedepginaCar">
    <w:name w:val="Pie de página Car"/>
    <w:basedOn w:val="Fuentedeprrafopredeter"/>
    <w:link w:val="Piedepgina"/>
    <w:uiPriority w:val="99"/>
    <w:semiHidden/>
    <w:locked/>
    <w:rsid w:val="00262306"/>
    <w:rPr>
      <w:rFonts w:ascii="Tahoma" w:hAnsi="Tahoma" w:cs="Tahoma"/>
      <w:sz w:val="20"/>
      <w:szCs w:val="20"/>
    </w:rPr>
  </w:style>
  <w:style w:type="character" w:styleId="Nmerodepgina">
    <w:name w:val="page number"/>
    <w:basedOn w:val="Fuentedeprrafopredeter"/>
    <w:uiPriority w:val="99"/>
    <w:rsid w:val="005B353D"/>
  </w:style>
  <w:style w:type="paragraph" w:styleId="Prrafodelista">
    <w:name w:val="List Paragraph"/>
    <w:basedOn w:val="Normal"/>
    <w:uiPriority w:val="99"/>
    <w:qFormat/>
    <w:rsid w:val="00B90EA5"/>
    <w:pPr>
      <w:ind w:left="708"/>
    </w:pPr>
  </w:style>
  <w:style w:type="paragraph" w:styleId="Mapadeldocumento">
    <w:name w:val="Document Map"/>
    <w:basedOn w:val="Normal"/>
    <w:link w:val="MapadeldocumentoCar"/>
    <w:uiPriority w:val="99"/>
    <w:semiHidden/>
    <w:rsid w:val="00487829"/>
    <w:pPr>
      <w:shd w:val="clear" w:color="auto" w:fill="000080"/>
    </w:pPr>
    <w:rPr>
      <w:sz w:val="20"/>
      <w:szCs w:val="20"/>
    </w:rPr>
  </w:style>
  <w:style w:type="character" w:customStyle="1" w:styleId="MapadeldocumentoCar">
    <w:name w:val="Mapa del documento Car"/>
    <w:basedOn w:val="Fuentedeprrafopredeter"/>
    <w:link w:val="Mapadeldocumento"/>
    <w:uiPriority w:val="99"/>
    <w:semiHidden/>
    <w:locked/>
    <w:rsid w:val="00262306"/>
    <w:rPr>
      <w:sz w:val="2"/>
      <w:szCs w:val="2"/>
    </w:rPr>
  </w:style>
  <w:style w:type="paragraph" w:styleId="Encabezado">
    <w:name w:val="header"/>
    <w:basedOn w:val="Normal"/>
    <w:link w:val="EncabezadoCar"/>
    <w:uiPriority w:val="99"/>
    <w:rsid w:val="002C2D7F"/>
    <w:pPr>
      <w:tabs>
        <w:tab w:val="center" w:pos="4252"/>
        <w:tab w:val="right" w:pos="8504"/>
      </w:tabs>
    </w:pPr>
  </w:style>
  <w:style w:type="character" w:customStyle="1" w:styleId="EncabezadoCar">
    <w:name w:val="Encabezado Car"/>
    <w:basedOn w:val="Fuentedeprrafopredeter"/>
    <w:link w:val="Encabezado"/>
    <w:uiPriority w:val="99"/>
    <w:semiHidden/>
    <w:locked/>
    <w:rsid w:val="00262306"/>
    <w:rPr>
      <w:rFonts w:ascii="Tahoma" w:hAnsi="Tahoma" w:cs="Tahoma"/>
      <w:sz w:val="20"/>
      <w:szCs w:val="20"/>
    </w:rPr>
  </w:style>
  <w:style w:type="character" w:styleId="Hipervnculovisitado">
    <w:name w:val="FollowedHyperlink"/>
    <w:basedOn w:val="Fuentedeprrafopredeter"/>
    <w:uiPriority w:val="99"/>
    <w:rsid w:val="00C750AD"/>
    <w:rPr>
      <w:color w:val="800080"/>
      <w:u w:val="single"/>
    </w:rPr>
  </w:style>
  <w:style w:type="paragraph" w:customStyle="1" w:styleId="Lneadeasunto">
    <w:name w:val="Línea de asunto"/>
    <w:basedOn w:val="Normal"/>
    <w:uiPriority w:val="99"/>
    <w:rsid w:val="00D937ED"/>
    <w:pPr>
      <w:spacing w:after="200"/>
    </w:pPr>
    <w:rPr>
      <w:rFonts w:ascii="Cambria" w:hAnsi="Cambria" w:cs="Cambria"/>
      <w:sz w:val="24"/>
      <w:szCs w:val="24"/>
      <w:lang w:val="es-ES_tradnl" w:eastAsia="en-US"/>
    </w:rPr>
  </w:style>
  <w:style w:type="paragraph" w:styleId="Textodeglobo">
    <w:name w:val="Balloon Text"/>
    <w:basedOn w:val="Normal"/>
    <w:link w:val="TextodegloboCar"/>
    <w:uiPriority w:val="99"/>
    <w:semiHidden/>
    <w:rsid w:val="00185388"/>
    <w:rPr>
      <w:sz w:val="16"/>
      <w:szCs w:val="16"/>
    </w:rPr>
  </w:style>
  <w:style w:type="character" w:customStyle="1" w:styleId="TextodegloboCar">
    <w:name w:val="Texto de globo Car"/>
    <w:basedOn w:val="Fuentedeprrafopredeter"/>
    <w:link w:val="Textodeglobo"/>
    <w:uiPriority w:val="99"/>
    <w:locked/>
    <w:rsid w:val="00185388"/>
    <w:rPr>
      <w:rFonts w:ascii="Tahoma" w:hAnsi="Tahoma" w:cs="Tahoma"/>
      <w:sz w:val="16"/>
      <w:szCs w:val="16"/>
    </w:rPr>
  </w:style>
  <w:style w:type="paragraph" w:customStyle="1" w:styleId="font0">
    <w:name w:val="font0"/>
    <w:basedOn w:val="Normal"/>
    <w:rsid w:val="002E42D1"/>
    <w:pPr>
      <w:spacing w:before="100" w:beforeAutospacing="1" w:after="100" w:afterAutospacing="1"/>
    </w:pPr>
    <w:rPr>
      <w:rFonts w:ascii="Arial" w:hAnsi="Arial" w:cs="Arial"/>
      <w:sz w:val="20"/>
      <w:szCs w:val="20"/>
    </w:rPr>
  </w:style>
  <w:style w:type="paragraph" w:customStyle="1" w:styleId="xl144">
    <w:name w:val="xl144"/>
    <w:basedOn w:val="Normal"/>
    <w:rsid w:val="002E42D1"/>
    <w:pPr>
      <w:pBdr>
        <w:left w:val="single" w:sz="8" w:space="0" w:color="auto"/>
        <w:bottom w:val="single" w:sz="8" w:space="0" w:color="auto"/>
      </w:pBdr>
      <w:spacing w:before="100" w:beforeAutospacing="1" w:after="100" w:afterAutospacing="1"/>
      <w:jc w:val="center"/>
      <w:textAlignment w:val="center"/>
    </w:pPr>
    <w:rPr>
      <w:b/>
      <w:bCs/>
      <w:color w:val="000000"/>
      <w:sz w:val="24"/>
      <w:szCs w:val="24"/>
    </w:rPr>
  </w:style>
  <w:style w:type="paragraph" w:customStyle="1" w:styleId="xl145">
    <w:name w:val="xl145"/>
    <w:basedOn w:val="Normal"/>
    <w:rsid w:val="002E42D1"/>
    <w:pPr>
      <w:pBdr>
        <w:bottom w:val="single" w:sz="8" w:space="0" w:color="auto"/>
      </w:pBdr>
      <w:spacing w:before="100" w:beforeAutospacing="1" w:after="100" w:afterAutospacing="1"/>
      <w:jc w:val="center"/>
      <w:textAlignment w:val="center"/>
    </w:pPr>
    <w:rPr>
      <w:b/>
      <w:bCs/>
      <w:color w:val="000000"/>
      <w:sz w:val="24"/>
      <w:szCs w:val="24"/>
    </w:rPr>
  </w:style>
  <w:style w:type="paragraph" w:customStyle="1" w:styleId="xl146">
    <w:name w:val="xl146"/>
    <w:basedOn w:val="Normal"/>
    <w:rsid w:val="002E42D1"/>
    <w:pPr>
      <w:pBdr>
        <w:bottom w:val="single" w:sz="8" w:space="0" w:color="auto"/>
      </w:pBdr>
      <w:spacing w:before="100" w:beforeAutospacing="1" w:after="100" w:afterAutospacing="1"/>
      <w:textAlignment w:val="center"/>
    </w:pPr>
    <w:rPr>
      <w:b/>
      <w:bCs/>
      <w:color w:val="FF0000"/>
      <w:sz w:val="24"/>
      <w:szCs w:val="24"/>
    </w:rPr>
  </w:style>
  <w:style w:type="paragraph" w:customStyle="1" w:styleId="xl147">
    <w:name w:val="xl147"/>
    <w:basedOn w:val="Normal"/>
    <w:rsid w:val="002E42D1"/>
    <w:pPr>
      <w:pBdr>
        <w:bottom w:val="single" w:sz="8" w:space="0" w:color="auto"/>
      </w:pBdr>
      <w:spacing w:before="100" w:beforeAutospacing="1" w:after="100" w:afterAutospacing="1"/>
      <w:jc w:val="center"/>
      <w:textAlignment w:val="center"/>
    </w:pPr>
    <w:rPr>
      <w:b/>
      <w:bCs/>
      <w:color w:val="000000"/>
      <w:sz w:val="24"/>
      <w:szCs w:val="24"/>
    </w:rPr>
  </w:style>
  <w:style w:type="paragraph" w:customStyle="1" w:styleId="xl148">
    <w:name w:val="xl148"/>
    <w:basedOn w:val="Normal"/>
    <w:rsid w:val="002E42D1"/>
    <w:pPr>
      <w:pBdr>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2E42D1"/>
    <w:pPr>
      <w:pBdr>
        <w:top w:val="single" w:sz="8" w:space="0" w:color="auto"/>
        <w:left w:val="single" w:sz="8"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150">
    <w:name w:val="xl150"/>
    <w:basedOn w:val="Normal"/>
    <w:rsid w:val="002E42D1"/>
    <w:pPr>
      <w:pBdr>
        <w:top w:val="single" w:sz="8"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151">
    <w:name w:val="xl151"/>
    <w:basedOn w:val="Normal"/>
    <w:rsid w:val="002E42D1"/>
    <w:pPr>
      <w:pBdr>
        <w:top w:val="single" w:sz="8" w:space="0" w:color="auto"/>
      </w:pBdr>
      <w:shd w:val="clear" w:color="000000" w:fill="CCFFFF"/>
      <w:spacing w:before="100" w:beforeAutospacing="1" w:after="100" w:afterAutospacing="1"/>
      <w:textAlignment w:val="center"/>
    </w:pPr>
    <w:rPr>
      <w:b/>
      <w:bCs/>
      <w:color w:val="FF0000"/>
      <w:sz w:val="24"/>
      <w:szCs w:val="24"/>
    </w:rPr>
  </w:style>
  <w:style w:type="paragraph" w:customStyle="1" w:styleId="xl152">
    <w:name w:val="xl152"/>
    <w:basedOn w:val="Normal"/>
    <w:rsid w:val="002E42D1"/>
    <w:pPr>
      <w:pBdr>
        <w:top w:val="single" w:sz="8"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153">
    <w:name w:val="xl153"/>
    <w:basedOn w:val="Normal"/>
    <w:rsid w:val="002E42D1"/>
    <w:pPr>
      <w:pBdr>
        <w:top w:val="single" w:sz="8" w:space="0" w:color="auto"/>
        <w:right w:val="single" w:sz="8"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154">
    <w:name w:val="xl154"/>
    <w:basedOn w:val="Normal"/>
    <w:rsid w:val="002E42D1"/>
    <w:pPr>
      <w:pBdr>
        <w:left w:val="single" w:sz="8"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155">
    <w:name w:val="xl155"/>
    <w:basedOn w:val="Normal"/>
    <w:rsid w:val="002E42D1"/>
    <w:pPr>
      <w:shd w:val="clear" w:color="000000" w:fill="CCFFFF"/>
      <w:spacing w:before="100" w:beforeAutospacing="1" w:after="100" w:afterAutospacing="1"/>
      <w:jc w:val="center"/>
      <w:textAlignment w:val="center"/>
    </w:pPr>
    <w:rPr>
      <w:b/>
      <w:bCs/>
      <w:color w:val="000000"/>
      <w:sz w:val="24"/>
      <w:szCs w:val="24"/>
    </w:rPr>
  </w:style>
  <w:style w:type="paragraph" w:customStyle="1" w:styleId="xl156">
    <w:name w:val="xl156"/>
    <w:basedOn w:val="Normal"/>
    <w:rsid w:val="002E42D1"/>
    <w:pPr>
      <w:shd w:val="clear" w:color="000000" w:fill="CCFFFF"/>
      <w:spacing w:before="100" w:beforeAutospacing="1" w:after="100" w:afterAutospacing="1"/>
      <w:jc w:val="center"/>
      <w:textAlignment w:val="center"/>
    </w:pPr>
    <w:rPr>
      <w:b/>
      <w:bCs/>
      <w:sz w:val="24"/>
      <w:szCs w:val="24"/>
    </w:rPr>
  </w:style>
  <w:style w:type="paragraph" w:customStyle="1" w:styleId="xl157">
    <w:name w:val="xl157"/>
    <w:basedOn w:val="Normal"/>
    <w:rsid w:val="002E42D1"/>
    <w:pPr>
      <w:pBdr>
        <w:left w:val="single" w:sz="8" w:space="0" w:color="auto"/>
        <w:bottom w:val="single" w:sz="4"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158">
    <w:name w:val="xl158"/>
    <w:basedOn w:val="Normal"/>
    <w:rsid w:val="002E42D1"/>
    <w:pPr>
      <w:pBdr>
        <w:bottom w:val="single" w:sz="4"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159">
    <w:name w:val="xl159"/>
    <w:basedOn w:val="Normal"/>
    <w:rsid w:val="002E42D1"/>
    <w:pPr>
      <w:pBdr>
        <w:bottom w:val="single" w:sz="4" w:space="0" w:color="auto"/>
      </w:pBdr>
      <w:shd w:val="clear" w:color="000000" w:fill="CCFFFF"/>
      <w:spacing w:before="100" w:beforeAutospacing="1" w:after="100" w:afterAutospacing="1"/>
      <w:textAlignment w:val="center"/>
    </w:pPr>
    <w:rPr>
      <w:b/>
      <w:bCs/>
      <w:color w:val="FF0000"/>
      <w:sz w:val="24"/>
      <w:szCs w:val="24"/>
    </w:rPr>
  </w:style>
  <w:style w:type="paragraph" w:customStyle="1" w:styleId="xl160">
    <w:name w:val="xl160"/>
    <w:basedOn w:val="Normal"/>
    <w:rsid w:val="002E42D1"/>
    <w:pPr>
      <w:pBdr>
        <w:bottom w:val="single" w:sz="4"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161">
    <w:name w:val="xl161"/>
    <w:basedOn w:val="Normal"/>
    <w:rsid w:val="002E42D1"/>
    <w:pPr>
      <w:pBdr>
        <w:bottom w:val="single" w:sz="4" w:space="0" w:color="auto"/>
        <w:right w:val="single" w:sz="8"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162">
    <w:name w:val="xl162"/>
    <w:basedOn w:val="Normal"/>
    <w:rsid w:val="002E42D1"/>
    <w:pPr>
      <w:pBdr>
        <w:left w:val="single" w:sz="8" w:space="0" w:color="auto"/>
      </w:pBdr>
      <w:spacing w:before="100" w:beforeAutospacing="1" w:after="100" w:afterAutospacing="1"/>
      <w:jc w:val="center"/>
      <w:textAlignment w:val="center"/>
    </w:pPr>
    <w:rPr>
      <w:color w:val="000000"/>
      <w:sz w:val="24"/>
      <w:szCs w:val="24"/>
    </w:rPr>
  </w:style>
  <w:style w:type="paragraph" w:customStyle="1" w:styleId="xl163">
    <w:name w:val="xl163"/>
    <w:basedOn w:val="Normal"/>
    <w:rsid w:val="002E42D1"/>
    <w:pPr>
      <w:spacing w:before="100" w:beforeAutospacing="1" w:after="100" w:afterAutospacing="1"/>
      <w:jc w:val="center"/>
      <w:textAlignment w:val="center"/>
    </w:pPr>
    <w:rPr>
      <w:color w:val="000000"/>
      <w:sz w:val="24"/>
      <w:szCs w:val="24"/>
    </w:rPr>
  </w:style>
  <w:style w:type="paragraph" w:customStyle="1" w:styleId="xl164">
    <w:name w:val="xl164"/>
    <w:basedOn w:val="Normal"/>
    <w:rsid w:val="002E42D1"/>
    <w:pPr>
      <w:spacing w:before="100" w:beforeAutospacing="1" w:after="100" w:afterAutospacing="1"/>
      <w:textAlignment w:val="center"/>
    </w:pPr>
    <w:rPr>
      <w:color w:val="000000"/>
      <w:sz w:val="24"/>
      <w:szCs w:val="24"/>
    </w:rPr>
  </w:style>
  <w:style w:type="paragraph" w:customStyle="1" w:styleId="xl165">
    <w:name w:val="xl165"/>
    <w:basedOn w:val="Normal"/>
    <w:rsid w:val="002E42D1"/>
    <w:pPr>
      <w:spacing w:before="100" w:beforeAutospacing="1" w:after="100" w:afterAutospacing="1"/>
      <w:textAlignment w:val="center"/>
    </w:pPr>
    <w:rPr>
      <w:color w:val="FF0000"/>
      <w:sz w:val="24"/>
      <w:szCs w:val="24"/>
    </w:rPr>
  </w:style>
  <w:style w:type="paragraph" w:customStyle="1" w:styleId="xl166">
    <w:name w:val="xl166"/>
    <w:basedOn w:val="Normal"/>
    <w:uiPriority w:val="99"/>
    <w:rsid w:val="002E42D1"/>
    <w:pPr>
      <w:spacing w:before="100" w:beforeAutospacing="1" w:after="100" w:afterAutospacing="1"/>
      <w:jc w:val="center"/>
      <w:textAlignment w:val="center"/>
    </w:pPr>
    <w:rPr>
      <w:color w:val="000000"/>
      <w:sz w:val="24"/>
      <w:szCs w:val="24"/>
    </w:rPr>
  </w:style>
  <w:style w:type="paragraph" w:customStyle="1" w:styleId="xl167">
    <w:name w:val="xl167"/>
    <w:basedOn w:val="Normal"/>
    <w:rsid w:val="002E42D1"/>
    <w:pPr>
      <w:pBdr>
        <w:right w:val="single" w:sz="8" w:space="0" w:color="auto"/>
      </w:pBdr>
      <w:spacing w:before="100" w:beforeAutospacing="1" w:after="100" w:afterAutospacing="1"/>
      <w:jc w:val="center"/>
      <w:textAlignment w:val="center"/>
    </w:pPr>
    <w:rPr>
      <w:color w:val="000000"/>
      <w:sz w:val="24"/>
      <w:szCs w:val="24"/>
    </w:rPr>
  </w:style>
  <w:style w:type="paragraph" w:customStyle="1" w:styleId="xl168">
    <w:name w:val="xl168"/>
    <w:basedOn w:val="Normal"/>
    <w:rsid w:val="002E42D1"/>
    <w:pPr>
      <w:pBdr>
        <w:left w:val="single" w:sz="8" w:space="0" w:color="auto"/>
      </w:pBdr>
      <w:spacing w:before="100" w:beforeAutospacing="1" w:after="100" w:afterAutospacing="1"/>
      <w:jc w:val="center"/>
      <w:textAlignment w:val="center"/>
    </w:pPr>
    <w:rPr>
      <w:color w:val="000000"/>
      <w:sz w:val="24"/>
      <w:szCs w:val="24"/>
    </w:rPr>
  </w:style>
  <w:style w:type="paragraph" w:customStyle="1" w:styleId="xl170">
    <w:name w:val="xl170"/>
    <w:basedOn w:val="Normal"/>
    <w:uiPriority w:val="99"/>
    <w:rsid w:val="002E42D1"/>
    <w:pPr>
      <w:spacing w:before="100" w:beforeAutospacing="1" w:after="100" w:afterAutospacing="1"/>
      <w:textAlignment w:val="center"/>
    </w:pPr>
    <w:rPr>
      <w:sz w:val="24"/>
      <w:szCs w:val="24"/>
    </w:rPr>
  </w:style>
  <w:style w:type="paragraph" w:customStyle="1" w:styleId="xl171">
    <w:name w:val="xl171"/>
    <w:basedOn w:val="Normal"/>
    <w:rsid w:val="002E42D1"/>
    <w:pPr>
      <w:spacing w:before="100" w:beforeAutospacing="1" w:after="100" w:afterAutospacing="1"/>
      <w:textAlignment w:val="center"/>
    </w:pPr>
    <w:rPr>
      <w:color w:val="000000"/>
      <w:sz w:val="24"/>
      <w:szCs w:val="24"/>
    </w:rPr>
  </w:style>
  <w:style w:type="paragraph" w:customStyle="1" w:styleId="xl172">
    <w:name w:val="xl172"/>
    <w:basedOn w:val="Normal"/>
    <w:rsid w:val="002E42D1"/>
    <w:pPr>
      <w:spacing w:before="100" w:beforeAutospacing="1" w:after="100" w:afterAutospacing="1"/>
      <w:jc w:val="center"/>
      <w:textAlignment w:val="center"/>
    </w:pPr>
    <w:rPr>
      <w:color w:val="000000"/>
      <w:sz w:val="24"/>
      <w:szCs w:val="24"/>
    </w:rPr>
  </w:style>
  <w:style w:type="paragraph" w:customStyle="1" w:styleId="xl174">
    <w:name w:val="xl174"/>
    <w:basedOn w:val="Normal"/>
    <w:rsid w:val="002E42D1"/>
    <w:pPr>
      <w:spacing w:before="100" w:beforeAutospacing="1" w:after="100" w:afterAutospacing="1"/>
      <w:jc w:val="center"/>
      <w:textAlignment w:val="center"/>
    </w:pPr>
    <w:rPr>
      <w:b/>
      <w:bCs/>
      <w:color w:val="000000"/>
      <w:sz w:val="24"/>
      <w:szCs w:val="24"/>
    </w:rPr>
  </w:style>
  <w:style w:type="paragraph" w:customStyle="1" w:styleId="xl175">
    <w:name w:val="xl175"/>
    <w:basedOn w:val="Normal"/>
    <w:rsid w:val="002E42D1"/>
    <w:pPr>
      <w:spacing w:before="100" w:beforeAutospacing="1" w:after="100" w:afterAutospacing="1"/>
      <w:textAlignment w:val="center"/>
    </w:pPr>
    <w:rPr>
      <w:b/>
      <w:bCs/>
      <w:color w:val="000000"/>
      <w:sz w:val="24"/>
      <w:szCs w:val="24"/>
    </w:rPr>
  </w:style>
  <w:style w:type="paragraph" w:customStyle="1" w:styleId="xl176">
    <w:name w:val="xl176"/>
    <w:basedOn w:val="Normal"/>
    <w:rsid w:val="002E42D1"/>
    <w:pPr>
      <w:spacing w:before="100" w:beforeAutospacing="1" w:after="100" w:afterAutospacing="1"/>
      <w:textAlignment w:val="center"/>
    </w:pPr>
    <w:rPr>
      <w:b/>
      <w:bCs/>
      <w:sz w:val="24"/>
      <w:szCs w:val="24"/>
    </w:rPr>
  </w:style>
  <w:style w:type="paragraph" w:customStyle="1" w:styleId="xl177">
    <w:name w:val="xl177"/>
    <w:basedOn w:val="Normal"/>
    <w:uiPriority w:val="99"/>
    <w:rsid w:val="002E42D1"/>
    <w:pPr>
      <w:spacing w:before="100" w:beforeAutospacing="1" w:after="100" w:afterAutospacing="1"/>
      <w:textAlignment w:val="center"/>
    </w:pPr>
    <w:rPr>
      <w:b/>
      <w:bCs/>
      <w:color w:val="000000"/>
      <w:sz w:val="24"/>
      <w:szCs w:val="24"/>
    </w:rPr>
  </w:style>
  <w:style w:type="paragraph" w:customStyle="1" w:styleId="xl178">
    <w:name w:val="xl178"/>
    <w:basedOn w:val="Normal"/>
    <w:rsid w:val="002E42D1"/>
    <w:pPr>
      <w:pBdr>
        <w:right w:val="single" w:sz="8" w:space="0" w:color="auto"/>
      </w:pBdr>
      <w:spacing w:before="100" w:beforeAutospacing="1" w:after="100" w:afterAutospacing="1"/>
      <w:jc w:val="center"/>
      <w:textAlignment w:val="center"/>
    </w:pPr>
    <w:rPr>
      <w:b/>
      <w:bCs/>
      <w:color w:val="000000"/>
      <w:sz w:val="24"/>
      <w:szCs w:val="24"/>
    </w:rPr>
  </w:style>
  <w:style w:type="paragraph" w:customStyle="1" w:styleId="xl179">
    <w:name w:val="xl179"/>
    <w:basedOn w:val="Normal"/>
    <w:rsid w:val="002E42D1"/>
    <w:pPr>
      <w:spacing w:before="100" w:beforeAutospacing="1" w:after="100" w:afterAutospacing="1"/>
      <w:textAlignment w:val="center"/>
    </w:pPr>
    <w:rPr>
      <w:b/>
      <w:bCs/>
      <w:color w:val="FF0000"/>
      <w:sz w:val="24"/>
      <w:szCs w:val="24"/>
    </w:rPr>
  </w:style>
  <w:style w:type="paragraph" w:customStyle="1" w:styleId="xl181">
    <w:name w:val="xl181"/>
    <w:basedOn w:val="Normal"/>
    <w:rsid w:val="002E42D1"/>
    <w:pPr>
      <w:spacing w:before="100" w:beforeAutospacing="1" w:after="100" w:afterAutospacing="1"/>
    </w:pPr>
    <w:rPr>
      <w:color w:val="FF0000"/>
      <w:sz w:val="24"/>
      <w:szCs w:val="24"/>
    </w:rPr>
  </w:style>
  <w:style w:type="paragraph" w:customStyle="1" w:styleId="xl182">
    <w:name w:val="xl182"/>
    <w:basedOn w:val="Normal"/>
    <w:rsid w:val="002E42D1"/>
    <w:pPr>
      <w:spacing w:before="100" w:beforeAutospacing="1" w:after="100" w:afterAutospacing="1"/>
      <w:textAlignment w:val="center"/>
    </w:pPr>
    <w:rPr>
      <w:color w:val="000000"/>
      <w:sz w:val="24"/>
      <w:szCs w:val="24"/>
    </w:rPr>
  </w:style>
  <w:style w:type="paragraph" w:customStyle="1" w:styleId="xl183">
    <w:name w:val="xl183"/>
    <w:basedOn w:val="Normal"/>
    <w:rsid w:val="002E42D1"/>
    <w:pPr>
      <w:pBdr>
        <w:left w:val="single" w:sz="8" w:space="0" w:color="auto"/>
      </w:pBdr>
      <w:spacing w:before="100" w:beforeAutospacing="1" w:after="100" w:afterAutospacing="1"/>
      <w:jc w:val="center"/>
      <w:textAlignment w:val="center"/>
    </w:pPr>
    <w:rPr>
      <w:sz w:val="24"/>
      <w:szCs w:val="24"/>
    </w:rPr>
  </w:style>
  <w:style w:type="paragraph" w:customStyle="1" w:styleId="xl184">
    <w:name w:val="xl184"/>
    <w:basedOn w:val="Normal"/>
    <w:rsid w:val="002E42D1"/>
    <w:pPr>
      <w:spacing w:before="100" w:beforeAutospacing="1" w:after="100" w:afterAutospacing="1"/>
    </w:pPr>
    <w:rPr>
      <w:color w:val="FF0000"/>
      <w:sz w:val="24"/>
      <w:szCs w:val="24"/>
    </w:rPr>
  </w:style>
  <w:style w:type="paragraph" w:customStyle="1" w:styleId="xl185">
    <w:name w:val="xl185"/>
    <w:basedOn w:val="Normal"/>
    <w:rsid w:val="002E42D1"/>
    <w:pPr>
      <w:spacing w:before="100" w:beforeAutospacing="1" w:after="100" w:afterAutospacing="1"/>
    </w:pPr>
    <w:rPr>
      <w:color w:val="FF0000"/>
      <w:sz w:val="24"/>
      <w:szCs w:val="24"/>
    </w:rPr>
  </w:style>
  <w:style w:type="paragraph" w:customStyle="1" w:styleId="xl186">
    <w:name w:val="xl186"/>
    <w:basedOn w:val="Normal"/>
    <w:rsid w:val="002E42D1"/>
    <w:pPr>
      <w:spacing w:before="100" w:beforeAutospacing="1" w:after="100" w:afterAutospacing="1"/>
    </w:pPr>
    <w:rPr>
      <w:color w:val="FF0000"/>
      <w:sz w:val="24"/>
      <w:szCs w:val="24"/>
    </w:rPr>
  </w:style>
  <w:style w:type="paragraph" w:customStyle="1" w:styleId="xl187">
    <w:name w:val="xl187"/>
    <w:basedOn w:val="Normal"/>
    <w:uiPriority w:val="99"/>
    <w:rsid w:val="002E42D1"/>
    <w:pPr>
      <w:pBdr>
        <w:left w:val="single" w:sz="8" w:space="0" w:color="auto"/>
      </w:pBdr>
      <w:spacing w:before="100" w:beforeAutospacing="1" w:after="100" w:afterAutospacing="1"/>
      <w:jc w:val="center"/>
      <w:textAlignment w:val="center"/>
    </w:pPr>
    <w:rPr>
      <w:b/>
      <w:bCs/>
      <w:color w:val="000000"/>
      <w:sz w:val="24"/>
      <w:szCs w:val="24"/>
    </w:rPr>
  </w:style>
  <w:style w:type="paragraph" w:customStyle="1" w:styleId="xl188">
    <w:name w:val="xl188"/>
    <w:basedOn w:val="Normal"/>
    <w:rsid w:val="002E42D1"/>
    <w:pPr>
      <w:spacing w:before="100" w:beforeAutospacing="1" w:after="100" w:afterAutospacing="1"/>
      <w:textAlignment w:val="center"/>
    </w:pPr>
    <w:rPr>
      <w:b/>
      <w:bCs/>
      <w:sz w:val="24"/>
      <w:szCs w:val="24"/>
    </w:rPr>
  </w:style>
  <w:style w:type="paragraph" w:customStyle="1" w:styleId="xl189">
    <w:name w:val="xl189"/>
    <w:basedOn w:val="Normal"/>
    <w:rsid w:val="002E42D1"/>
    <w:pPr>
      <w:pBdr>
        <w:right w:val="single" w:sz="8" w:space="0" w:color="auto"/>
      </w:pBdr>
      <w:spacing w:before="100" w:beforeAutospacing="1" w:after="100" w:afterAutospacing="1"/>
      <w:jc w:val="center"/>
      <w:textAlignment w:val="center"/>
    </w:pPr>
    <w:rPr>
      <w:b/>
      <w:bCs/>
      <w:color w:val="000000"/>
      <w:sz w:val="24"/>
      <w:szCs w:val="24"/>
    </w:rPr>
  </w:style>
  <w:style w:type="paragraph" w:customStyle="1" w:styleId="xl191">
    <w:name w:val="xl191"/>
    <w:basedOn w:val="Normal"/>
    <w:rsid w:val="002E42D1"/>
    <w:pPr>
      <w:spacing w:before="100" w:beforeAutospacing="1" w:after="100" w:afterAutospacing="1"/>
      <w:textAlignment w:val="center"/>
    </w:pPr>
    <w:rPr>
      <w:sz w:val="24"/>
      <w:szCs w:val="24"/>
    </w:rPr>
  </w:style>
  <w:style w:type="paragraph" w:customStyle="1" w:styleId="xl192">
    <w:name w:val="xl192"/>
    <w:basedOn w:val="Normal"/>
    <w:rsid w:val="002E42D1"/>
    <w:pPr>
      <w:pBdr>
        <w:left w:val="single" w:sz="8" w:space="0" w:color="auto"/>
      </w:pBdr>
      <w:spacing w:before="100" w:beforeAutospacing="1" w:after="100" w:afterAutospacing="1"/>
      <w:jc w:val="center"/>
      <w:textAlignment w:val="center"/>
    </w:pPr>
    <w:rPr>
      <w:color w:val="FF0000"/>
      <w:sz w:val="24"/>
      <w:szCs w:val="24"/>
    </w:rPr>
  </w:style>
  <w:style w:type="paragraph" w:customStyle="1" w:styleId="xl193">
    <w:name w:val="xl193"/>
    <w:basedOn w:val="Normal"/>
    <w:rsid w:val="002E42D1"/>
    <w:pPr>
      <w:spacing w:before="100" w:beforeAutospacing="1" w:after="100" w:afterAutospacing="1"/>
      <w:textAlignment w:val="center"/>
    </w:pPr>
    <w:rPr>
      <w:color w:val="FF0000"/>
      <w:sz w:val="24"/>
      <w:szCs w:val="24"/>
    </w:rPr>
  </w:style>
  <w:style w:type="paragraph" w:customStyle="1" w:styleId="xl194">
    <w:name w:val="xl194"/>
    <w:basedOn w:val="Normal"/>
    <w:rsid w:val="002E42D1"/>
    <w:pPr>
      <w:pBdr>
        <w:left w:val="single" w:sz="8" w:space="0" w:color="auto"/>
      </w:pBdr>
      <w:spacing w:before="100" w:beforeAutospacing="1" w:after="100" w:afterAutospacing="1"/>
      <w:jc w:val="center"/>
      <w:textAlignment w:val="center"/>
    </w:pPr>
    <w:rPr>
      <w:sz w:val="24"/>
      <w:szCs w:val="24"/>
    </w:rPr>
  </w:style>
  <w:style w:type="paragraph" w:customStyle="1" w:styleId="xl195">
    <w:name w:val="xl195"/>
    <w:basedOn w:val="Normal"/>
    <w:rsid w:val="002E42D1"/>
    <w:pPr>
      <w:pBdr>
        <w:left w:val="single" w:sz="8" w:space="0" w:color="auto"/>
        <w:bottom w:val="single" w:sz="8" w:space="0" w:color="auto"/>
      </w:pBdr>
      <w:spacing w:before="100" w:beforeAutospacing="1" w:after="100" w:afterAutospacing="1"/>
      <w:jc w:val="center"/>
      <w:textAlignment w:val="center"/>
    </w:pPr>
    <w:rPr>
      <w:b/>
      <w:bCs/>
      <w:color w:val="000000"/>
      <w:sz w:val="24"/>
      <w:szCs w:val="24"/>
    </w:rPr>
  </w:style>
  <w:style w:type="paragraph" w:customStyle="1" w:styleId="xl196">
    <w:name w:val="xl196"/>
    <w:basedOn w:val="Normal"/>
    <w:rsid w:val="002E42D1"/>
    <w:pPr>
      <w:pBdr>
        <w:bottom w:val="single" w:sz="8" w:space="0" w:color="auto"/>
      </w:pBdr>
      <w:spacing w:before="100" w:beforeAutospacing="1" w:after="100" w:afterAutospacing="1"/>
      <w:jc w:val="center"/>
      <w:textAlignment w:val="center"/>
    </w:pPr>
    <w:rPr>
      <w:b/>
      <w:bCs/>
      <w:color w:val="000000"/>
      <w:sz w:val="24"/>
      <w:szCs w:val="24"/>
    </w:rPr>
  </w:style>
  <w:style w:type="paragraph" w:customStyle="1" w:styleId="xl197">
    <w:name w:val="xl197"/>
    <w:basedOn w:val="Normal"/>
    <w:rsid w:val="002E42D1"/>
    <w:pPr>
      <w:pBdr>
        <w:bottom w:val="single" w:sz="8" w:space="0" w:color="auto"/>
      </w:pBdr>
      <w:spacing w:before="100" w:beforeAutospacing="1" w:after="100" w:afterAutospacing="1"/>
      <w:textAlignment w:val="center"/>
    </w:pPr>
    <w:rPr>
      <w:b/>
      <w:bCs/>
      <w:color w:val="000000"/>
      <w:sz w:val="24"/>
      <w:szCs w:val="24"/>
    </w:rPr>
  </w:style>
  <w:style w:type="paragraph" w:customStyle="1" w:styleId="xl198">
    <w:name w:val="xl198"/>
    <w:basedOn w:val="Normal"/>
    <w:rsid w:val="002E42D1"/>
    <w:pPr>
      <w:pBdr>
        <w:bottom w:val="single" w:sz="8" w:space="0" w:color="auto"/>
      </w:pBdr>
      <w:spacing w:before="100" w:beforeAutospacing="1" w:after="100" w:afterAutospacing="1"/>
      <w:textAlignment w:val="center"/>
    </w:pPr>
    <w:rPr>
      <w:b/>
      <w:bCs/>
      <w:color w:val="000000"/>
      <w:sz w:val="24"/>
      <w:szCs w:val="24"/>
    </w:rPr>
  </w:style>
  <w:style w:type="paragraph" w:customStyle="1" w:styleId="xl199">
    <w:name w:val="xl199"/>
    <w:basedOn w:val="Normal"/>
    <w:rsid w:val="002E42D1"/>
    <w:pPr>
      <w:pBdr>
        <w:top w:val="single" w:sz="8" w:space="0" w:color="auto"/>
        <w:left w:val="single" w:sz="8"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200">
    <w:name w:val="xl200"/>
    <w:basedOn w:val="Normal"/>
    <w:rsid w:val="002E42D1"/>
    <w:pPr>
      <w:pBdr>
        <w:top w:val="single" w:sz="8" w:space="0" w:color="auto"/>
      </w:pBdr>
      <w:shd w:val="clear" w:color="000000" w:fill="CCFFFF"/>
      <w:spacing w:before="100" w:beforeAutospacing="1" w:after="100" w:afterAutospacing="1"/>
      <w:jc w:val="center"/>
      <w:textAlignment w:val="center"/>
    </w:pPr>
    <w:rPr>
      <w:b/>
      <w:bCs/>
      <w:color w:val="000000"/>
      <w:sz w:val="24"/>
      <w:szCs w:val="24"/>
    </w:rPr>
  </w:style>
  <w:style w:type="paragraph" w:customStyle="1" w:styleId="xl201">
    <w:name w:val="xl201"/>
    <w:basedOn w:val="Normal"/>
    <w:rsid w:val="002E42D1"/>
    <w:pPr>
      <w:pBdr>
        <w:top w:val="single" w:sz="8" w:space="0" w:color="auto"/>
      </w:pBdr>
      <w:shd w:val="clear" w:color="000000" w:fill="CCFFFF"/>
      <w:spacing w:before="100" w:beforeAutospacing="1" w:after="100" w:afterAutospacing="1"/>
      <w:textAlignment w:val="center"/>
    </w:pPr>
    <w:rPr>
      <w:b/>
      <w:bCs/>
      <w:color w:val="000000"/>
      <w:sz w:val="24"/>
      <w:szCs w:val="24"/>
    </w:rPr>
  </w:style>
  <w:style w:type="paragraph" w:customStyle="1" w:styleId="xl202">
    <w:name w:val="xl202"/>
    <w:basedOn w:val="Normal"/>
    <w:rsid w:val="002E42D1"/>
    <w:pPr>
      <w:pBdr>
        <w:top w:val="single" w:sz="8" w:space="0" w:color="auto"/>
      </w:pBdr>
      <w:shd w:val="clear" w:color="000000" w:fill="CCFFFF"/>
      <w:spacing w:before="100" w:beforeAutospacing="1" w:after="100" w:afterAutospacing="1"/>
      <w:textAlignment w:val="center"/>
    </w:pPr>
    <w:rPr>
      <w:b/>
      <w:bCs/>
      <w:color w:val="000000"/>
      <w:sz w:val="24"/>
      <w:szCs w:val="24"/>
    </w:rPr>
  </w:style>
  <w:style w:type="paragraph" w:customStyle="1" w:styleId="xl203">
    <w:name w:val="xl203"/>
    <w:basedOn w:val="Normal"/>
    <w:rsid w:val="002E42D1"/>
    <w:pPr>
      <w:pBdr>
        <w:left w:val="single" w:sz="8" w:space="0" w:color="auto"/>
      </w:pBdr>
      <w:shd w:val="clear" w:color="000000" w:fill="CCFFFF"/>
      <w:spacing w:before="100" w:beforeAutospacing="1" w:after="100" w:afterAutospacing="1"/>
      <w:jc w:val="center"/>
      <w:textAlignment w:val="center"/>
    </w:pPr>
    <w:rPr>
      <w:b/>
      <w:bCs/>
      <w:color w:val="000000"/>
    </w:rPr>
  </w:style>
  <w:style w:type="paragraph" w:customStyle="1" w:styleId="xl204">
    <w:name w:val="xl204"/>
    <w:basedOn w:val="Normal"/>
    <w:rsid w:val="002E42D1"/>
    <w:pPr>
      <w:shd w:val="clear" w:color="000000" w:fill="CCFFFF"/>
      <w:spacing w:before="100" w:beforeAutospacing="1" w:after="100" w:afterAutospacing="1"/>
      <w:jc w:val="center"/>
      <w:textAlignment w:val="center"/>
    </w:pPr>
    <w:rPr>
      <w:b/>
      <w:bCs/>
      <w:color w:val="000000"/>
    </w:rPr>
  </w:style>
  <w:style w:type="paragraph" w:customStyle="1" w:styleId="xl205">
    <w:name w:val="xl205"/>
    <w:basedOn w:val="Normal"/>
    <w:rsid w:val="002E42D1"/>
    <w:pPr>
      <w:shd w:val="clear" w:color="000000" w:fill="CCFFFF"/>
      <w:spacing w:before="100" w:beforeAutospacing="1" w:after="100" w:afterAutospacing="1"/>
      <w:textAlignment w:val="center"/>
    </w:pPr>
    <w:rPr>
      <w:b/>
      <w:bCs/>
      <w:color w:val="000000"/>
    </w:rPr>
  </w:style>
  <w:style w:type="paragraph" w:customStyle="1" w:styleId="xl206">
    <w:name w:val="xl206"/>
    <w:basedOn w:val="Normal"/>
    <w:rsid w:val="002E42D1"/>
    <w:pPr>
      <w:shd w:val="clear" w:color="000000" w:fill="CCFFFF"/>
      <w:spacing w:before="100" w:beforeAutospacing="1" w:after="100" w:afterAutospacing="1"/>
      <w:textAlignment w:val="center"/>
    </w:pPr>
    <w:rPr>
      <w:b/>
      <w:bCs/>
    </w:rPr>
  </w:style>
  <w:style w:type="paragraph" w:customStyle="1" w:styleId="xl207">
    <w:name w:val="xl207"/>
    <w:basedOn w:val="Normal"/>
    <w:rsid w:val="002E42D1"/>
    <w:pPr>
      <w:shd w:val="clear" w:color="000000" w:fill="CCFFFF"/>
      <w:spacing w:before="100" w:beforeAutospacing="1" w:after="100" w:afterAutospacing="1"/>
      <w:textAlignment w:val="center"/>
    </w:pPr>
    <w:rPr>
      <w:b/>
      <w:bCs/>
      <w:color w:val="000000"/>
    </w:rPr>
  </w:style>
  <w:style w:type="paragraph" w:customStyle="1" w:styleId="xl208">
    <w:name w:val="xl208"/>
    <w:basedOn w:val="Normal"/>
    <w:rsid w:val="002E42D1"/>
    <w:pPr>
      <w:pBdr>
        <w:right w:val="single" w:sz="8" w:space="0" w:color="auto"/>
      </w:pBdr>
      <w:shd w:val="clear" w:color="000000" w:fill="CCFFFF"/>
      <w:spacing w:before="100" w:beforeAutospacing="1" w:after="100" w:afterAutospacing="1"/>
      <w:jc w:val="center"/>
      <w:textAlignment w:val="center"/>
    </w:pPr>
    <w:rPr>
      <w:b/>
      <w:bCs/>
      <w:color w:val="000000"/>
    </w:rPr>
  </w:style>
  <w:style w:type="paragraph" w:customStyle="1" w:styleId="xl209">
    <w:name w:val="xl209"/>
    <w:basedOn w:val="Normal"/>
    <w:rsid w:val="002E42D1"/>
    <w:pPr>
      <w:pBdr>
        <w:left w:val="single" w:sz="8" w:space="0" w:color="auto"/>
        <w:bottom w:val="single" w:sz="8" w:space="0" w:color="auto"/>
      </w:pBdr>
      <w:shd w:val="clear" w:color="000000" w:fill="CCFFFF"/>
      <w:spacing w:before="100" w:beforeAutospacing="1" w:after="100" w:afterAutospacing="1"/>
      <w:jc w:val="center"/>
      <w:textAlignment w:val="center"/>
    </w:pPr>
    <w:rPr>
      <w:color w:val="000000"/>
      <w:sz w:val="24"/>
      <w:szCs w:val="24"/>
    </w:rPr>
  </w:style>
  <w:style w:type="paragraph" w:customStyle="1" w:styleId="xl210">
    <w:name w:val="xl210"/>
    <w:basedOn w:val="Normal"/>
    <w:rsid w:val="002E42D1"/>
    <w:pPr>
      <w:pBdr>
        <w:bottom w:val="single" w:sz="8" w:space="0" w:color="auto"/>
      </w:pBdr>
      <w:shd w:val="clear" w:color="000000" w:fill="CCFFFF"/>
      <w:spacing w:before="100" w:beforeAutospacing="1" w:after="100" w:afterAutospacing="1"/>
      <w:textAlignment w:val="center"/>
    </w:pPr>
    <w:rPr>
      <w:b/>
      <w:bCs/>
      <w:color w:val="000000"/>
      <w:sz w:val="24"/>
      <w:szCs w:val="24"/>
    </w:rPr>
  </w:style>
  <w:style w:type="paragraph" w:customStyle="1" w:styleId="xl211">
    <w:name w:val="xl211"/>
    <w:basedOn w:val="Normal"/>
    <w:rsid w:val="002E42D1"/>
    <w:pPr>
      <w:pBdr>
        <w:bottom w:val="single" w:sz="8" w:space="0" w:color="auto"/>
      </w:pBdr>
      <w:shd w:val="clear" w:color="000000" w:fill="CCFFFF"/>
      <w:spacing w:before="100" w:beforeAutospacing="1" w:after="100" w:afterAutospacing="1"/>
      <w:textAlignment w:val="center"/>
    </w:pPr>
    <w:rPr>
      <w:color w:val="000000"/>
      <w:sz w:val="24"/>
      <w:szCs w:val="24"/>
    </w:rPr>
  </w:style>
  <w:style w:type="paragraph" w:customStyle="1" w:styleId="xl212">
    <w:name w:val="xl212"/>
    <w:basedOn w:val="Normal"/>
    <w:rsid w:val="002E42D1"/>
    <w:pPr>
      <w:pBdr>
        <w:bottom w:val="single" w:sz="8" w:space="0" w:color="auto"/>
      </w:pBdr>
      <w:shd w:val="clear" w:color="000000" w:fill="CCFFFF"/>
      <w:spacing w:before="100" w:beforeAutospacing="1" w:after="100" w:afterAutospacing="1"/>
      <w:textAlignment w:val="center"/>
    </w:pPr>
    <w:rPr>
      <w:color w:val="FF0000"/>
      <w:sz w:val="24"/>
      <w:szCs w:val="24"/>
    </w:rPr>
  </w:style>
  <w:style w:type="paragraph" w:customStyle="1" w:styleId="xl213">
    <w:name w:val="xl213"/>
    <w:basedOn w:val="Normal"/>
    <w:rsid w:val="002E42D1"/>
    <w:pPr>
      <w:pBdr>
        <w:bottom w:val="single" w:sz="8" w:space="0" w:color="auto"/>
      </w:pBdr>
      <w:shd w:val="clear" w:color="000000" w:fill="CCFFFF"/>
      <w:spacing w:before="100" w:beforeAutospacing="1" w:after="100" w:afterAutospacing="1"/>
      <w:textAlignment w:val="center"/>
    </w:pPr>
    <w:rPr>
      <w:color w:val="000000"/>
      <w:sz w:val="24"/>
      <w:szCs w:val="24"/>
    </w:rPr>
  </w:style>
  <w:style w:type="paragraph" w:customStyle="1" w:styleId="xl214">
    <w:name w:val="xl214"/>
    <w:basedOn w:val="Normal"/>
    <w:rsid w:val="002E42D1"/>
    <w:pPr>
      <w:pBdr>
        <w:bottom w:val="single" w:sz="8" w:space="0" w:color="auto"/>
        <w:right w:val="single" w:sz="8" w:space="0" w:color="auto"/>
      </w:pBdr>
      <w:shd w:val="clear" w:color="000000" w:fill="CCFFFF"/>
      <w:spacing w:before="100" w:beforeAutospacing="1" w:after="100" w:afterAutospacing="1"/>
      <w:jc w:val="center"/>
      <w:textAlignment w:val="center"/>
    </w:pPr>
    <w:rPr>
      <w:color w:val="000000"/>
      <w:sz w:val="24"/>
      <w:szCs w:val="24"/>
    </w:rPr>
  </w:style>
  <w:style w:type="paragraph" w:customStyle="1" w:styleId="xl215">
    <w:name w:val="xl215"/>
    <w:basedOn w:val="Normal"/>
    <w:rsid w:val="002E42D1"/>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216">
    <w:name w:val="xl216"/>
    <w:basedOn w:val="Normal"/>
    <w:rsid w:val="002E42D1"/>
    <w:pPr>
      <w:pBdr>
        <w:top w:val="single" w:sz="8" w:space="0" w:color="auto"/>
      </w:pBdr>
      <w:spacing w:before="100" w:beforeAutospacing="1" w:after="100" w:afterAutospacing="1"/>
      <w:jc w:val="center"/>
      <w:textAlignment w:val="center"/>
    </w:pPr>
    <w:rPr>
      <w:b/>
      <w:bCs/>
      <w:color w:val="000000"/>
    </w:rPr>
  </w:style>
  <w:style w:type="paragraph" w:customStyle="1" w:styleId="xl217">
    <w:name w:val="xl217"/>
    <w:basedOn w:val="Normal"/>
    <w:rsid w:val="002E42D1"/>
    <w:pPr>
      <w:pBdr>
        <w:top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18">
    <w:name w:val="xl218"/>
    <w:basedOn w:val="Normal"/>
    <w:rsid w:val="002E42D1"/>
    <w:pPr>
      <w:pBdr>
        <w:left w:val="single" w:sz="8" w:space="0" w:color="auto"/>
      </w:pBdr>
      <w:spacing w:before="100" w:beforeAutospacing="1" w:after="100" w:afterAutospacing="1"/>
      <w:jc w:val="center"/>
      <w:textAlignment w:val="center"/>
    </w:pPr>
    <w:rPr>
      <w:b/>
      <w:bCs/>
      <w:color w:val="000000"/>
    </w:rPr>
  </w:style>
  <w:style w:type="paragraph" w:customStyle="1" w:styleId="xl219">
    <w:name w:val="xl219"/>
    <w:basedOn w:val="Normal"/>
    <w:uiPriority w:val="99"/>
    <w:rsid w:val="002E42D1"/>
    <w:pPr>
      <w:spacing w:before="100" w:beforeAutospacing="1" w:after="100" w:afterAutospacing="1"/>
      <w:jc w:val="center"/>
      <w:textAlignment w:val="center"/>
    </w:pPr>
    <w:rPr>
      <w:b/>
      <w:bCs/>
      <w:color w:val="000000"/>
    </w:rPr>
  </w:style>
  <w:style w:type="paragraph" w:customStyle="1" w:styleId="xl220">
    <w:name w:val="xl220"/>
    <w:basedOn w:val="Normal"/>
    <w:uiPriority w:val="99"/>
    <w:rsid w:val="002E42D1"/>
    <w:pPr>
      <w:pBdr>
        <w:right w:val="single" w:sz="8" w:space="0" w:color="auto"/>
      </w:pBdr>
      <w:spacing w:before="100" w:beforeAutospacing="1" w:after="100" w:afterAutospacing="1"/>
      <w:jc w:val="center"/>
      <w:textAlignment w:val="center"/>
    </w:pPr>
    <w:rPr>
      <w:b/>
      <w:bCs/>
      <w:color w:val="000000"/>
    </w:rPr>
  </w:style>
  <w:style w:type="paragraph" w:customStyle="1" w:styleId="xl221">
    <w:name w:val="xl221"/>
    <w:basedOn w:val="Normal"/>
    <w:uiPriority w:val="99"/>
    <w:rsid w:val="002E42D1"/>
    <w:pPr>
      <w:pBdr>
        <w:right w:val="single" w:sz="8" w:space="0" w:color="auto"/>
      </w:pBdr>
      <w:shd w:val="clear" w:color="000000" w:fill="CCFFFF"/>
      <w:spacing w:before="100" w:beforeAutospacing="1" w:after="100" w:afterAutospacing="1"/>
      <w:jc w:val="center"/>
      <w:textAlignment w:val="center"/>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46">
      <w:marLeft w:val="0"/>
      <w:marRight w:val="0"/>
      <w:marTop w:val="0"/>
      <w:marBottom w:val="0"/>
      <w:divBdr>
        <w:top w:val="none" w:sz="0" w:space="0" w:color="auto"/>
        <w:left w:val="none" w:sz="0" w:space="0" w:color="auto"/>
        <w:bottom w:val="none" w:sz="0" w:space="0" w:color="auto"/>
        <w:right w:val="none" w:sz="0" w:space="0" w:color="auto"/>
      </w:divBdr>
    </w:div>
    <w:div w:id="11803147">
      <w:marLeft w:val="0"/>
      <w:marRight w:val="0"/>
      <w:marTop w:val="0"/>
      <w:marBottom w:val="0"/>
      <w:divBdr>
        <w:top w:val="none" w:sz="0" w:space="0" w:color="auto"/>
        <w:left w:val="none" w:sz="0" w:space="0" w:color="auto"/>
        <w:bottom w:val="none" w:sz="0" w:space="0" w:color="auto"/>
        <w:right w:val="none" w:sz="0" w:space="0" w:color="auto"/>
      </w:divBdr>
    </w:div>
    <w:div w:id="11803148">
      <w:marLeft w:val="0"/>
      <w:marRight w:val="0"/>
      <w:marTop w:val="0"/>
      <w:marBottom w:val="0"/>
      <w:divBdr>
        <w:top w:val="none" w:sz="0" w:space="0" w:color="auto"/>
        <w:left w:val="none" w:sz="0" w:space="0" w:color="auto"/>
        <w:bottom w:val="none" w:sz="0" w:space="0" w:color="auto"/>
        <w:right w:val="none" w:sz="0" w:space="0" w:color="auto"/>
      </w:divBdr>
    </w:div>
    <w:div w:id="11803149">
      <w:marLeft w:val="0"/>
      <w:marRight w:val="0"/>
      <w:marTop w:val="0"/>
      <w:marBottom w:val="0"/>
      <w:divBdr>
        <w:top w:val="none" w:sz="0" w:space="0" w:color="auto"/>
        <w:left w:val="none" w:sz="0" w:space="0" w:color="auto"/>
        <w:bottom w:val="none" w:sz="0" w:space="0" w:color="auto"/>
        <w:right w:val="none" w:sz="0" w:space="0" w:color="auto"/>
      </w:divBdr>
    </w:div>
    <w:div w:id="11803150">
      <w:marLeft w:val="0"/>
      <w:marRight w:val="0"/>
      <w:marTop w:val="0"/>
      <w:marBottom w:val="0"/>
      <w:divBdr>
        <w:top w:val="none" w:sz="0" w:space="0" w:color="auto"/>
        <w:left w:val="none" w:sz="0" w:space="0" w:color="auto"/>
        <w:bottom w:val="none" w:sz="0" w:space="0" w:color="auto"/>
        <w:right w:val="none" w:sz="0" w:space="0" w:color="auto"/>
      </w:divBdr>
    </w:div>
    <w:div w:id="11803151">
      <w:marLeft w:val="0"/>
      <w:marRight w:val="0"/>
      <w:marTop w:val="0"/>
      <w:marBottom w:val="0"/>
      <w:divBdr>
        <w:top w:val="none" w:sz="0" w:space="0" w:color="auto"/>
        <w:left w:val="none" w:sz="0" w:space="0" w:color="auto"/>
        <w:bottom w:val="none" w:sz="0" w:space="0" w:color="auto"/>
        <w:right w:val="none" w:sz="0" w:space="0" w:color="auto"/>
      </w:divBdr>
    </w:div>
    <w:div w:id="11803152">
      <w:marLeft w:val="0"/>
      <w:marRight w:val="0"/>
      <w:marTop w:val="0"/>
      <w:marBottom w:val="0"/>
      <w:divBdr>
        <w:top w:val="none" w:sz="0" w:space="0" w:color="auto"/>
        <w:left w:val="none" w:sz="0" w:space="0" w:color="auto"/>
        <w:bottom w:val="none" w:sz="0" w:space="0" w:color="auto"/>
        <w:right w:val="none" w:sz="0" w:space="0" w:color="auto"/>
      </w:divBdr>
    </w:div>
    <w:div w:id="11803153">
      <w:marLeft w:val="0"/>
      <w:marRight w:val="0"/>
      <w:marTop w:val="0"/>
      <w:marBottom w:val="0"/>
      <w:divBdr>
        <w:top w:val="none" w:sz="0" w:space="0" w:color="auto"/>
        <w:left w:val="none" w:sz="0" w:space="0" w:color="auto"/>
        <w:bottom w:val="none" w:sz="0" w:space="0" w:color="auto"/>
        <w:right w:val="none" w:sz="0" w:space="0" w:color="auto"/>
      </w:divBdr>
    </w:div>
    <w:div w:id="11803154">
      <w:marLeft w:val="0"/>
      <w:marRight w:val="0"/>
      <w:marTop w:val="0"/>
      <w:marBottom w:val="0"/>
      <w:divBdr>
        <w:top w:val="none" w:sz="0" w:space="0" w:color="auto"/>
        <w:left w:val="none" w:sz="0" w:space="0" w:color="auto"/>
        <w:bottom w:val="none" w:sz="0" w:space="0" w:color="auto"/>
        <w:right w:val="none" w:sz="0" w:space="0" w:color="auto"/>
      </w:divBdr>
    </w:div>
    <w:div w:id="11803155">
      <w:marLeft w:val="0"/>
      <w:marRight w:val="0"/>
      <w:marTop w:val="0"/>
      <w:marBottom w:val="0"/>
      <w:divBdr>
        <w:top w:val="none" w:sz="0" w:space="0" w:color="auto"/>
        <w:left w:val="none" w:sz="0" w:space="0" w:color="auto"/>
        <w:bottom w:val="none" w:sz="0" w:space="0" w:color="auto"/>
        <w:right w:val="none" w:sz="0" w:space="0" w:color="auto"/>
      </w:divBdr>
    </w:div>
    <w:div w:id="11803156">
      <w:marLeft w:val="0"/>
      <w:marRight w:val="0"/>
      <w:marTop w:val="0"/>
      <w:marBottom w:val="0"/>
      <w:divBdr>
        <w:top w:val="none" w:sz="0" w:space="0" w:color="auto"/>
        <w:left w:val="none" w:sz="0" w:space="0" w:color="auto"/>
        <w:bottom w:val="none" w:sz="0" w:space="0" w:color="auto"/>
        <w:right w:val="none" w:sz="0" w:space="0" w:color="auto"/>
      </w:divBdr>
    </w:div>
    <w:div w:id="11803157">
      <w:marLeft w:val="0"/>
      <w:marRight w:val="0"/>
      <w:marTop w:val="0"/>
      <w:marBottom w:val="0"/>
      <w:divBdr>
        <w:top w:val="none" w:sz="0" w:space="0" w:color="auto"/>
        <w:left w:val="none" w:sz="0" w:space="0" w:color="auto"/>
        <w:bottom w:val="none" w:sz="0" w:space="0" w:color="auto"/>
        <w:right w:val="none" w:sz="0" w:space="0" w:color="auto"/>
      </w:divBdr>
    </w:div>
    <w:div w:id="11803158">
      <w:marLeft w:val="0"/>
      <w:marRight w:val="0"/>
      <w:marTop w:val="0"/>
      <w:marBottom w:val="0"/>
      <w:divBdr>
        <w:top w:val="none" w:sz="0" w:space="0" w:color="auto"/>
        <w:left w:val="none" w:sz="0" w:space="0" w:color="auto"/>
        <w:bottom w:val="none" w:sz="0" w:space="0" w:color="auto"/>
        <w:right w:val="none" w:sz="0" w:space="0" w:color="auto"/>
      </w:divBdr>
    </w:div>
    <w:div w:id="11803159">
      <w:marLeft w:val="0"/>
      <w:marRight w:val="0"/>
      <w:marTop w:val="0"/>
      <w:marBottom w:val="0"/>
      <w:divBdr>
        <w:top w:val="none" w:sz="0" w:space="0" w:color="auto"/>
        <w:left w:val="none" w:sz="0" w:space="0" w:color="auto"/>
        <w:bottom w:val="none" w:sz="0" w:space="0" w:color="auto"/>
        <w:right w:val="none" w:sz="0" w:space="0" w:color="auto"/>
      </w:divBdr>
    </w:div>
    <w:div w:id="11803160">
      <w:marLeft w:val="0"/>
      <w:marRight w:val="0"/>
      <w:marTop w:val="0"/>
      <w:marBottom w:val="0"/>
      <w:divBdr>
        <w:top w:val="none" w:sz="0" w:space="0" w:color="auto"/>
        <w:left w:val="none" w:sz="0" w:space="0" w:color="auto"/>
        <w:bottom w:val="none" w:sz="0" w:space="0" w:color="auto"/>
        <w:right w:val="none" w:sz="0" w:space="0" w:color="auto"/>
      </w:divBdr>
    </w:div>
    <w:div w:id="11803161">
      <w:marLeft w:val="0"/>
      <w:marRight w:val="0"/>
      <w:marTop w:val="0"/>
      <w:marBottom w:val="0"/>
      <w:divBdr>
        <w:top w:val="none" w:sz="0" w:space="0" w:color="auto"/>
        <w:left w:val="none" w:sz="0" w:space="0" w:color="auto"/>
        <w:bottom w:val="none" w:sz="0" w:space="0" w:color="auto"/>
        <w:right w:val="none" w:sz="0" w:space="0" w:color="auto"/>
      </w:divBdr>
    </w:div>
    <w:div w:id="11803162">
      <w:marLeft w:val="0"/>
      <w:marRight w:val="0"/>
      <w:marTop w:val="0"/>
      <w:marBottom w:val="0"/>
      <w:divBdr>
        <w:top w:val="none" w:sz="0" w:space="0" w:color="auto"/>
        <w:left w:val="none" w:sz="0" w:space="0" w:color="auto"/>
        <w:bottom w:val="none" w:sz="0" w:space="0" w:color="auto"/>
        <w:right w:val="none" w:sz="0" w:space="0" w:color="auto"/>
      </w:divBdr>
    </w:div>
    <w:div w:id="11803163">
      <w:marLeft w:val="0"/>
      <w:marRight w:val="0"/>
      <w:marTop w:val="0"/>
      <w:marBottom w:val="0"/>
      <w:divBdr>
        <w:top w:val="none" w:sz="0" w:space="0" w:color="auto"/>
        <w:left w:val="none" w:sz="0" w:space="0" w:color="auto"/>
        <w:bottom w:val="none" w:sz="0" w:space="0" w:color="auto"/>
        <w:right w:val="none" w:sz="0" w:space="0" w:color="auto"/>
      </w:divBdr>
    </w:div>
    <w:div w:id="11803164">
      <w:marLeft w:val="0"/>
      <w:marRight w:val="0"/>
      <w:marTop w:val="0"/>
      <w:marBottom w:val="0"/>
      <w:divBdr>
        <w:top w:val="none" w:sz="0" w:space="0" w:color="auto"/>
        <w:left w:val="none" w:sz="0" w:space="0" w:color="auto"/>
        <w:bottom w:val="none" w:sz="0" w:space="0" w:color="auto"/>
        <w:right w:val="none" w:sz="0" w:space="0" w:color="auto"/>
      </w:divBdr>
    </w:div>
    <w:div w:id="11803165">
      <w:marLeft w:val="0"/>
      <w:marRight w:val="0"/>
      <w:marTop w:val="0"/>
      <w:marBottom w:val="0"/>
      <w:divBdr>
        <w:top w:val="none" w:sz="0" w:space="0" w:color="auto"/>
        <w:left w:val="none" w:sz="0" w:space="0" w:color="auto"/>
        <w:bottom w:val="none" w:sz="0" w:space="0" w:color="auto"/>
        <w:right w:val="none" w:sz="0" w:space="0" w:color="auto"/>
      </w:divBdr>
    </w:div>
    <w:div w:id="11803166">
      <w:marLeft w:val="0"/>
      <w:marRight w:val="0"/>
      <w:marTop w:val="0"/>
      <w:marBottom w:val="0"/>
      <w:divBdr>
        <w:top w:val="none" w:sz="0" w:space="0" w:color="auto"/>
        <w:left w:val="none" w:sz="0" w:space="0" w:color="auto"/>
        <w:bottom w:val="none" w:sz="0" w:space="0" w:color="auto"/>
        <w:right w:val="none" w:sz="0" w:space="0" w:color="auto"/>
      </w:divBdr>
    </w:div>
    <w:div w:id="11803167">
      <w:marLeft w:val="0"/>
      <w:marRight w:val="0"/>
      <w:marTop w:val="0"/>
      <w:marBottom w:val="0"/>
      <w:divBdr>
        <w:top w:val="none" w:sz="0" w:space="0" w:color="auto"/>
        <w:left w:val="none" w:sz="0" w:space="0" w:color="auto"/>
        <w:bottom w:val="none" w:sz="0" w:space="0" w:color="auto"/>
        <w:right w:val="none" w:sz="0" w:space="0" w:color="auto"/>
      </w:divBdr>
    </w:div>
    <w:div w:id="11803168">
      <w:marLeft w:val="0"/>
      <w:marRight w:val="0"/>
      <w:marTop w:val="0"/>
      <w:marBottom w:val="0"/>
      <w:divBdr>
        <w:top w:val="none" w:sz="0" w:space="0" w:color="auto"/>
        <w:left w:val="none" w:sz="0" w:space="0" w:color="auto"/>
        <w:bottom w:val="none" w:sz="0" w:space="0" w:color="auto"/>
        <w:right w:val="none" w:sz="0" w:space="0" w:color="auto"/>
      </w:divBdr>
    </w:div>
    <w:div w:id="11803169">
      <w:marLeft w:val="0"/>
      <w:marRight w:val="0"/>
      <w:marTop w:val="0"/>
      <w:marBottom w:val="0"/>
      <w:divBdr>
        <w:top w:val="none" w:sz="0" w:space="0" w:color="auto"/>
        <w:left w:val="none" w:sz="0" w:space="0" w:color="auto"/>
        <w:bottom w:val="none" w:sz="0" w:space="0" w:color="auto"/>
        <w:right w:val="none" w:sz="0" w:space="0" w:color="auto"/>
      </w:divBdr>
    </w:div>
    <w:div w:id="11803170">
      <w:marLeft w:val="0"/>
      <w:marRight w:val="0"/>
      <w:marTop w:val="0"/>
      <w:marBottom w:val="0"/>
      <w:divBdr>
        <w:top w:val="none" w:sz="0" w:space="0" w:color="auto"/>
        <w:left w:val="none" w:sz="0" w:space="0" w:color="auto"/>
        <w:bottom w:val="none" w:sz="0" w:space="0" w:color="auto"/>
        <w:right w:val="none" w:sz="0" w:space="0" w:color="auto"/>
      </w:divBdr>
    </w:div>
    <w:div w:id="11803171">
      <w:marLeft w:val="0"/>
      <w:marRight w:val="0"/>
      <w:marTop w:val="0"/>
      <w:marBottom w:val="0"/>
      <w:divBdr>
        <w:top w:val="none" w:sz="0" w:space="0" w:color="auto"/>
        <w:left w:val="none" w:sz="0" w:space="0" w:color="auto"/>
        <w:bottom w:val="none" w:sz="0" w:space="0" w:color="auto"/>
        <w:right w:val="none" w:sz="0" w:space="0" w:color="auto"/>
      </w:divBdr>
    </w:div>
    <w:div w:id="11803172">
      <w:marLeft w:val="0"/>
      <w:marRight w:val="0"/>
      <w:marTop w:val="0"/>
      <w:marBottom w:val="0"/>
      <w:divBdr>
        <w:top w:val="none" w:sz="0" w:space="0" w:color="auto"/>
        <w:left w:val="none" w:sz="0" w:space="0" w:color="auto"/>
        <w:bottom w:val="none" w:sz="0" w:space="0" w:color="auto"/>
        <w:right w:val="none" w:sz="0" w:space="0" w:color="auto"/>
      </w:divBdr>
    </w:div>
    <w:div w:id="11803173">
      <w:marLeft w:val="0"/>
      <w:marRight w:val="0"/>
      <w:marTop w:val="0"/>
      <w:marBottom w:val="0"/>
      <w:divBdr>
        <w:top w:val="none" w:sz="0" w:space="0" w:color="auto"/>
        <w:left w:val="none" w:sz="0" w:space="0" w:color="auto"/>
        <w:bottom w:val="none" w:sz="0" w:space="0" w:color="auto"/>
        <w:right w:val="none" w:sz="0" w:space="0" w:color="auto"/>
      </w:divBdr>
    </w:div>
    <w:div w:id="1505196359">
      <w:bodyDiv w:val="1"/>
      <w:marLeft w:val="0"/>
      <w:marRight w:val="0"/>
      <w:marTop w:val="0"/>
      <w:marBottom w:val="0"/>
      <w:divBdr>
        <w:top w:val="none" w:sz="0" w:space="0" w:color="auto"/>
        <w:left w:val="none" w:sz="0" w:space="0" w:color="auto"/>
        <w:bottom w:val="none" w:sz="0" w:space="0" w:color="auto"/>
        <w:right w:val="none" w:sz="0" w:space="0" w:color="auto"/>
      </w:divBdr>
    </w:div>
    <w:div w:id="202593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CA7C-DF67-4674-BC8E-988C972C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16</Pages>
  <Words>4895</Words>
  <Characters>25061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Introducción</vt:lpstr>
    </vt:vector>
  </TitlesOfParts>
  <Company>Hewlett-Packard Company</Company>
  <LinksUpToDate>false</LinksUpToDate>
  <CharactersWithSpaces>29897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creator>IsabelG</dc:creator>
  <cp:lastModifiedBy>García Herrero, Isabel</cp:lastModifiedBy>
  <cp:revision>13</cp:revision>
  <cp:lastPrinted>2018-11-05T15:40:00Z</cp:lastPrinted>
  <dcterms:created xsi:type="dcterms:W3CDTF">2018-11-08T10:31:00Z</dcterms:created>
  <dcterms:modified xsi:type="dcterms:W3CDTF">2018-12-14T10:19:00Z</dcterms:modified>
</cp:coreProperties>
</file>