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44" w:rsidRPr="00091F54" w:rsidRDefault="00B26248" w:rsidP="00A03B66">
      <w:pPr>
        <w:pStyle w:val="Ttulo2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right="14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PRESUPUESTO AÑO 2019</w:t>
      </w:r>
    </w:p>
    <w:p w:rsidR="00D72844" w:rsidRDefault="00D72844" w:rsidP="00A03B66">
      <w:pPr>
        <w:pStyle w:val="Sangradetextonormal"/>
        <w:ind w:right="140" w:firstLine="0"/>
        <w:jc w:val="center"/>
        <w:rPr>
          <w:rFonts w:ascii="Calibri" w:hAnsi="Calibri"/>
          <w:sz w:val="22"/>
          <w:szCs w:val="22"/>
        </w:rPr>
      </w:pPr>
    </w:p>
    <w:p w:rsidR="00D72844" w:rsidRPr="00091F54" w:rsidRDefault="00D72844" w:rsidP="00A03B66">
      <w:pPr>
        <w:pStyle w:val="Ttulo2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right="1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INFORME ECONÓMICO FINANCIERO</w:t>
      </w:r>
    </w:p>
    <w:p w:rsidR="00B8318C" w:rsidRDefault="00B8318C">
      <w:pPr>
        <w:pStyle w:val="Sangradetextonormal"/>
        <w:ind w:firstLine="0"/>
        <w:jc w:val="center"/>
        <w:rPr>
          <w:rFonts w:ascii="Calibri" w:hAnsi="Calibri"/>
          <w:sz w:val="22"/>
          <w:szCs w:val="22"/>
          <w:u w:val="single"/>
        </w:rPr>
      </w:pPr>
    </w:p>
    <w:p w:rsidR="00D72844" w:rsidRDefault="00D72844" w:rsidP="00D7284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CD1339" w:rsidRDefault="00CD1339" w:rsidP="00D7284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 w:rsidRPr="004D1231">
        <w:rPr>
          <w:rFonts w:ascii="Calibri" w:hAnsi="Calibri"/>
          <w:b w:val="0"/>
          <w:bCs/>
          <w:sz w:val="22"/>
          <w:szCs w:val="22"/>
        </w:rPr>
        <w:t>En primer lugar, cabe señalar</w:t>
      </w:r>
      <w:r w:rsidR="004E2DA0" w:rsidRPr="004D1231">
        <w:rPr>
          <w:rFonts w:ascii="Calibri" w:hAnsi="Calibri"/>
          <w:b w:val="0"/>
          <w:bCs/>
          <w:sz w:val="22"/>
          <w:szCs w:val="22"/>
        </w:rPr>
        <w:t xml:space="preserve"> que el Presupuesto 201</w:t>
      </w:r>
      <w:r w:rsidR="00B26248" w:rsidRPr="004D1231">
        <w:rPr>
          <w:rFonts w:ascii="Calibri" w:hAnsi="Calibri"/>
          <w:b w:val="0"/>
          <w:bCs/>
          <w:sz w:val="22"/>
          <w:szCs w:val="22"/>
        </w:rPr>
        <w:t>9</w:t>
      </w:r>
      <w:r w:rsidR="004E2DA0" w:rsidRPr="004D1231">
        <w:rPr>
          <w:rFonts w:ascii="Calibri" w:hAnsi="Calibri"/>
          <w:b w:val="0"/>
          <w:bCs/>
          <w:sz w:val="22"/>
          <w:szCs w:val="22"/>
        </w:rPr>
        <w:t xml:space="preserve"> experimenta un incremento de </w:t>
      </w:r>
      <w:r w:rsidR="003C6C9C" w:rsidRPr="004D1231">
        <w:rPr>
          <w:rFonts w:ascii="Calibri" w:hAnsi="Calibri"/>
          <w:b w:val="0"/>
          <w:bCs/>
          <w:sz w:val="22"/>
          <w:szCs w:val="22"/>
        </w:rPr>
        <w:t>2,</w:t>
      </w:r>
      <w:r w:rsidR="00C85497">
        <w:rPr>
          <w:rFonts w:ascii="Calibri" w:hAnsi="Calibri"/>
          <w:b w:val="0"/>
          <w:bCs/>
          <w:sz w:val="22"/>
          <w:szCs w:val="22"/>
        </w:rPr>
        <w:t>10</w:t>
      </w:r>
      <w:r w:rsidR="004E2DA0" w:rsidRPr="004D1231">
        <w:rPr>
          <w:rFonts w:ascii="Calibri" w:hAnsi="Calibri"/>
          <w:b w:val="0"/>
          <w:bCs/>
          <w:sz w:val="22"/>
          <w:szCs w:val="22"/>
        </w:rPr>
        <w:t xml:space="preserve"> % con resp</w:t>
      </w:r>
      <w:r w:rsidR="007736BE" w:rsidRPr="004D1231">
        <w:rPr>
          <w:rFonts w:ascii="Calibri" w:hAnsi="Calibri"/>
          <w:b w:val="0"/>
          <w:bCs/>
          <w:sz w:val="22"/>
          <w:szCs w:val="22"/>
        </w:rPr>
        <w:t>ecto al actual, estableciéndose créditos</w:t>
      </w:r>
      <w:r w:rsidR="00BB7D69" w:rsidRPr="004D1231">
        <w:rPr>
          <w:rFonts w:ascii="Calibri" w:hAnsi="Calibri"/>
          <w:b w:val="0"/>
          <w:bCs/>
          <w:sz w:val="22"/>
          <w:szCs w:val="22"/>
        </w:rPr>
        <w:t xml:space="preserve"> y previsiones</w:t>
      </w:r>
      <w:r w:rsidR="004D1231">
        <w:rPr>
          <w:rFonts w:ascii="Calibri" w:hAnsi="Calibri"/>
          <w:b w:val="0"/>
          <w:bCs/>
          <w:sz w:val="22"/>
          <w:szCs w:val="22"/>
        </w:rPr>
        <w:t xml:space="preserve"> por importe de </w:t>
      </w:r>
      <w:r w:rsidR="003C6C9C" w:rsidRPr="004D1231">
        <w:rPr>
          <w:rFonts w:ascii="Calibri" w:hAnsi="Calibri"/>
          <w:b w:val="0"/>
          <w:bCs/>
          <w:sz w:val="22"/>
          <w:szCs w:val="22"/>
        </w:rPr>
        <w:t>8</w:t>
      </w:r>
      <w:r w:rsidR="004D1231">
        <w:rPr>
          <w:rFonts w:ascii="Calibri" w:hAnsi="Calibri"/>
          <w:b w:val="0"/>
          <w:bCs/>
          <w:sz w:val="22"/>
          <w:szCs w:val="22"/>
        </w:rPr>
        <w:t>.</w:t>
      </w:r>
      <w:r w:rsidR="00F737AD">
        <w:rPr>
          <w:rFonts w:ascii="Calibri" w:hAnsi="Calibri"/>
          <w:b w:val="0"/>
          <w:bCs/>
          <w:sz w:val="22"/>
          <w:szCs w:val="22"/>
        </w:rPr>
        <w:t>917.250,07</w:t>
      </w:r>
      <w:r w:rsidR="007736BE" w:rsidRPr="004D1231">
        <w:rPr>
          <w:rFonts w:ascii="Calibri" w:hAnsi="Calibri"/>
          <w:b w:val="0"/>
          <w:bCs/>
          <w:sz w:val="22"/>
          <w:szCs w:val="22"/>
        </w:rPr>
        <w:t xml:space="preserve"> €</w:t>
      </w:r>
      <w:r w:rsidR="00CC0C36">
        <w:rPr>
          <w:rFonts w:ascii="Calibri" w:hAnsi="Calibri"/>
          <w:b w:val="0"/>
          <w:bCs/>
          <w:sz w:val="22"/>
          <w:szCs w:val="22"/>
        </w:rPr>
        <w:t xml:space="preserve">, con las siguientes </w:t>
      </w:r>
      <w:r w:rsidR="00A03B66">
        <w:rPr>
          <w:rFonts w:ascii="Calibri" w:hAnsi="Calibri"/>
          <w:b w:val="0"/>
          <w:bCs/>
          <w:sz w:val="22"/>
          <w:szCs w:val="22"/>
        </w:rPr>
        <w:t>variaciones</w:t>
      </w:r>
      <w:r w:rsidR="00922489" w:rsidRPr="004D1231">
        <w:rPr>
          <w:rFonts w:ascii="Calibri" w:hAnsi="Calibri"/>
          <w:b w:val="0"/>
          <w:bCs/>
          <w:sz w:val="22"/>
          <w:szCs w:val="22"/>
        </w:rPr>
        <w:t xml:space="preserve"> p</w:t>
      </w:r>
      <w:r w:rsidR="00CC0C36">
        <w:rPr>
          <w:rFonts w:ascii="Calibri" w:hAnsi="Calibri"/>
          <w:b w:val="0"/>
          <w:bCs/>
          <w:sz w:val="22"/>
          <w:szCs w:val="22"/>
        </w:rPr>
        <w:t>or capítulos:</w:t>
      </w:r>
    </w:p>
    <w:p w:rsidR="003C6C9C" w:rsidRDefault="003C6C9C" w:rsidP="00D7284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tbl>
      <w:tblPr>
        <w:tblW w:w="793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421"/>
        <w:gridCol w:w="1104"/>
        <w:gridCol w:w="1104"/>
        <w:gridCol w:w="1016"/>
        <w:gridCol w:w="914"/>
      </w:tblGrid>
      <w:tr w:rsidR="003C6C9C" w:rsidRPr="004D1231" w:rsidTr="00A03B66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PRESPUESTO DE GASTOS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DIFERENCIA</w:t>
            </w:r>
          </w:p>
        </w:tc>
      </w:tr>
      <w:tr w:rsidR="003C6C9C" w:rsidRPr="004D1231" w:rsidTr="00A03B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GASTOS DE PERSONAL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4D1231" w:rsidP="00F37528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5.343.370,9</w:t>
            </w:r>
            <w:r w:rsidR="00F37528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5.112.917,15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4D1231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230.453,80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4D1231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4,</w:t>
            </w:r>
            <w:r w:rsidR="004D1231"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51</w:t>
            </w: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 w:rsidR="003C6C9C" w:rsidRPr="004D1231" w:rsidTr="00A03B6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GASTOS CORRIENTES EN BIENES Y SERVICIOS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2.726.496,72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2.733.429,72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-6.933,00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-0,25%</w:t>
            </w:r>
          </w:p>
        </w:tc>
      </w:tr>
      <w:tr w:rsidR="003C6C9C" w:rsidRPr="004D1231" w:rsidTr="00A03B6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GASTOS FINANCIEROS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0,00%</w:t>
            </w:r>
          </w:p>
        </w:tc>
      </w:tr>
      <w:tr w:rsidR="003C6C9C" w:rsidRPr="004D1231" w:rsidTr="00A03B6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TRANSFERENCIAS CORRIENTES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21.400,00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21.400,00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0,00%</w:t>
            </w:r>
          </w:p>
        </w:tc>
      </w:tr>
      <w:tr w:rsidR="003C6C9C" w:rsidRPr="004D1231" w:rsidTr="00A03B6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INVERSIONES REALES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704.682,41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643.210,00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61.472,41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9,56%</w:t>
            </w:r>
          </w:p>
        </w:tc>
      </w:tr>
      <w:tr w:rsidR="003C6C9C" w:rsidRPr="004D1231" w:rsidTr="00A03B6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TRANSFERENCIAS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101.860,00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-101.760,00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-99,90%</w:t>
            </w:r>
          </w:p>
        </w:tc>
      </w:tr>
      <w:tr w:rsidR="003C6C9C" w:rsidRPr="004D1231" w:rsidTr="00A03B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ACTIVOS FINANCIEROS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0,00%</w:t>
            </w:r>
          </w:p>
        </w:tc>
      </w:tr>
      <w:tr w:rsidR="003C6C9C" w:rsidRPr="003C6C9C" w:rsidTr="00A03B66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3C6C9C" w:rsidRPr="004D1231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TOTAL RESUMEN CAPITULOS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4D1231" w:rsidRDefault="003C6C9C" w:rsidP="004D1231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8.</w:t>
            </w:r>
            <w:r w:rsidR="004D1231"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917.250,0</w:t>
            </w:r>
            <w:r w:rsidR="00F37528"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4D1231" w:rsidRDefault="003C6C9C" w:rsidP="003C6C9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8.734.016,87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4D1231" w:rsidRDefault="003C6C9C" w:rsidP="004D1231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  <w:r w:rsidR="004D1231"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3.233,2</w:t>
            </w:r>
            <w:r w:rsidR="00F37528"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3C6C9C" w:rsidP="00C85497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2,</w:t>
            </w:r>
            <w:r w:rsidR="00C85497">
              <w:rPr>
                <w:rFonts w:ascii="Calibri" w:hAnsi="Calibri"/>
                <w:b/>
                <w:color w:val="000000"/>
                <w:sz w:val="18"/>
                <w:szCs w:val="18"/>
              </w:rPr>
              <w:t>10</w:t>
            </w:r>
            <w:r w:rsidRPr="004D1231">
              <w:rPr>
                <w:rFonts w:ascii="Calibri" w:hAnsi="Calibri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:rsidR="003C6C9C" w:rsidRDefault="003C6C9C" w:rsidP="00D7284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3C6C9C" w:rsidRDefault="003C6C9C" w:rsidP="00D7284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tbl>
      <w:tblPr>
        <w:tblW w:w="793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537"/>
        <w:gridCol w:w="1104"/>
        <w:gridCol w:w="1104"/>
        <w:gridCol w:w="965"/>
        <w:gridCol w:w="849"/>
      </w:tblGrid>
      <w:tr w:rsidR="003C6C9C" w:rsidRPr="003C6C9C" w:rsidTr="00A03B66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PRESUPUESTO DE INGRESOS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/>
                <w:color w:val="000000"/>
                <w:sz w:val="18"/>
                <w:szCs w:val="18"/>
              </w:rPr>
              <w:t>DIFERENCIA</w:t>
            </w:r>
          </w:p>
        </w:tc>
      </w:tr>
      <w:tr w:rsidR="003C6C9C" w:rsidRPr="003C6C9C" w:rsidTr="00A03B6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TASAS, PRECIOS PÚBLICOS Y OTROS 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713.401,13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715.901,13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-2.500,00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-0,35%</w:t>
            </w:r>
          </w:p>
        </w:tc>
      </w:tr>
      <w:tr w:rsidR="003C6C9C" w:rsidRPr="003C6C9C" w:rsidTr="00A03B6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F37528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7.</w:t>
            </w:r>
            <w:r w:rsidR="00B54817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371.566,5</w:t>
            </w:r>
            <w:r w:rsidR="00F37528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7.146.045,74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B54817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225.520,80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B54817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3,</w:t>
            </w:r>
            <w:r w:rsidR="00B54817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16</w:t>
            </w: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%</w:t>
            </w:r>
          </w:p>
        </w:tc>
      </w:tr>
      <w:tr w:rsidR="003C6C9C" w:rsidRPr="003C6C9C" w:rsidTr="00A03B6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INGRESOS PATRIMONIALES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-6,25%</w:t>
            </w:r>
          </w:p>
        </w:tc>
      </w:tr>
      <w:tr w:rsidR="003C6C9C" w:rsidRPr="003C6C9C" w:rsidTr="00A03B6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704.782,41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744.070,00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-39.287,59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-5,28%</w:t>
            </w:r>
          </w:p>
        </w:tc>
      </w:tr>
      <w:tr w:rsidR="003C6C9C" w:rsidRPr="003C6C9C" w:rsidTr="00A03B6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0,00%</w:t>
            </w:r>
          </w:p>
        </w:tc>
      </w:tr>
      <w:tr w:rsidR="003C6C9C" w:rsidRPr="003C6C9C" w:rsidTr="00A03B66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3C6C9C" w:rsidP="003C6C9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/>
                <w:color w:val="000000"/>
                <w:sz w:val="18"/>
                <w:szCs w:val="18"/>
              </w:rPr>
              <w:t>TOTAL RESUMEN CAPITULOS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B54817" w:rsidP="00F37528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8.917.250,0</w:t>
            </w:r>
            <w:r w:rsidR="00F37528"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3C6C9C" w:rsidP="003C6C9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C6C9C">
              <w:rPr>
                <w:rFonts w:ascii="Calibri" w:hAnsi="Calibri"/>
                <w:b/>
                <w:color w:val="000000"/>
                <w:sz w:val="18"/>
                <w:szCs w:val="18"/>
              </w:rPr>
              <w:t>8.734.016,87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B54817" w:rsidP="00F37528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183.233,2</w:t>
            </w:r>
            <w:r w:rsidR="00F37528"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3C6C9C" w:rsidRPr="003C6C9C" w:rsidRDefault="00B54817" w:rsidP="00B54817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2,10</w:t>
            </w:r>
            <w:r w:rsidR="003C6C9C" w:rsidRPr="003C6C9C">
              <w:rPr>
                <w:rFonts w:ascii="Calibri" w:hAnsi="Calibri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:rsidR="003C6C9C" w:rsidRDefault="003C6C9C" w:rsidP="00D7284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BD08A4" w:rsidRDefault="00BD08A4" w:rsidP="00BD08A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D21369" w:rsidRDefault="00BD08A4" w:rsidP="00D7284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 w:rsidRPr="00091F54">
        <w:rPr>
          <w:rFonts w:ascii="Calibri" w:hAnsi="Calibri"/>
          <w:b w:val="0"/>
          <w:bCs/>
          <w:sz w:val="22"/>
          <w:szCs w:val="22"/>
        </w:rPr>
        <w:t xml:space="preserve">De conformidad con lo establecido en el artículo </w:t>
      </w:r>
      <w:r>
        <w:rPr>
          <w:rFonts w:ascii="Calibri" w:hAnsi="Calibri"/>
          <w:b w:val="0"/>
          <w:bCs/>
          <w:sz w:val="22"/>
          <w:szCs w:val="22"/>
        </w:rPr>
        <w:t>168.1 e</w:t>
      </w:r>
      <w:r w:rsidRPr="00091F54">
        <w:rPr>
          <w:rFonts w:ascii="Calibri" w:hAnsi="Calibri"/>
          <w:b w:val="0"/>
          <w:bCs/>
          <w:sz w:val="22"/>
          <w:szCs w:val="22"/>
        </w:rPr>
        <w:t>) del Texto Refundido de la Ley Reguladora de las Haciendas Locales, aprobado por el Real Decreto Legislativo 2/200</w:t>
      </w:r>
      <w:r>
        <w:rPr>
          <w:rFonts w:ascii="Calibri" w:hAnsi="Calibri"/>
          <w:b w:val="0"/>
          <w:bCs/>
          <w:sz w:val="22"/>
          <w:szCs w:val="22"/>
        </w:rPr>
        <w:t xml:space="preserve">4, de 5 de marzo, se elabora el presente informe económico-financiero </w:t>
      </w:r>
      <w:r w:rsidRPr="00091F54">
        <w:rPr>
          <w:rFonts w:ascii="Calibri" w:hAnsi="Calibri"/>
          <w:b w:val="0"/>
          <w:bCs/>
          <w:sz w:val="22"/>
          <w:szCs w:val="22"/>
        </w:rPr>
        <w:t xml:space="preserve">del Presupuesto del Organismo Autónomo de Museos y Centros para el ejercicio </w:t>
      </w:r>
      <w:r w:rsidR="006F434C">
        <w:rPr>
          <w:rFonts w:ascii="Calibri" w:hAnsi="Calibri"/>
          <w:b w:val="0"/>
          <w:bCs/>
          <w:sz w:val="22"/>
          <w:szCs w:val="22"/>
        </w:rPr>
        <w:t>2019</w:t>
      </w:r>
      <w:r>
        <w:rPr>
          <w:rFonts w:ascii="Calibri" w:hAnsi="Calibri"/>
          <w:b w:val="0"/>
          <w:bCs/>
          <w:sz w:val="22"/>
          <w:szCs w:val="22"/>
        </w:rPr>
        <w:t>:</w:t>
      </w:r>
    </w:p>
    <w:p w:rsidR="003D2DE3" w:rsidRDefault="003D2DE3" w:rsidP="008A7B70">
      <w:pPr>
        <w:pStyle w:val="Sangradetextonormal"/>
        <w:ind w:firstLine="567"/>
        <w:rPr>
          <w:rFonts w:ascii="Calibri" w:hAnsi="Calibri"/>
          <w:bCs/>
          <w:sz w:val="22"/>
          <w:szCs w:val="22"/>
        </w:rPr>
      </w:pPr>
    </w:p>
    <w:p w:rsidR="00CD7F8E" w:rsidRDefault="00D72844" w:rsidP="008A7B70">
      <w:pPr>
        <w:pStyle w:val="Sangradetextonormal"/>
        <w:ind w:firstLine="567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</w:t>
      </w:r>
      <w:r w:rsidRPr="00D72844">
        <w:rPr>
          <w:rFonts w:ascii="Calibri" w:hAnsi="Calibri"/>
          <w:bCs/>
          <w:sz w:val="22"/>
          <w:szCs w:val="22"/>
        </w:rPr>
        <w:t xml:space="preserve"> </w:t>
      </w:r>
      <w:r w:rsidR="00F737AD" w:rsidRPr="00F737AD">
        <w:rPr>
          <w:rFonts w:ascii="Calibri" w:hAnsi="Calibri"/>
          <w:bCs/>
          <w:sz w:val="20"/>
          <w:szCs w:val="20"/>
        </w:rPr>
        <w:t>BASES UTILIZADAS PARA LA EVALUACIÓN DE LOS INGRESOS</w:t>
      </w:r>
      <w:r w:rsidR="00F737AD">
        <w:rPr>
          <w:rFonts w:ascii="Calibri" w:hAnsi="Calibri"/>
          <w:bCs/>
          <w:sz w:val="20"/>
          <w:szCs w:val="20"/>
        </w:rPr>
        <w:t xml:space="preserve">: </w:t>
      </w:r>
      <w:r w:rsidR="00693E46" w:rsidRPr="00D64BCF">
        <w:rPr>
          <w:rFonts w:ascii="Calibri" w:hAnsi="Calibri"/>
          <w:b w:val="0"/>
          <w:bCs/>
          <w:sz w:val="22"/>
          <w:szCs w:val="22"/>
        </w:rPr>
        <w:t xml:space="preserve">Los recursos que configuran el presupuesto de ingresos son, por un lado, las aportaciones del Cabildo Insular, que </w:t>
      </w:r>
      <w:r w:rsidR="00693E46" w:rsidRPr="00682155">
        <w:rPr>
          <w:rFonts w:ascii="Calibri" w:hAnsi="Calibri"/>
          <w:b w:val="0"/>
          <w:bCs/>
          <w:sz w:val="22"/>
          <w:szCs w:val="22"/>
        </w:rPr>
        <w:t xml:space="preserve">constituyen el </w:t>
      </w:r>
      <w:r w:rsidR="00AD5D45" w:rsidRPr="00682155">
        <w:rPr>
          <w:rFonts w:ascii="Calibri" w:hAnsi="Calibri"/>
          <w:b w:val="0"/>
          <w:bCs/>
          <w:sz w:val="22"/>
          <w:szCs w:val="22"/>
        </w:rPr>
        <w:t>9</w:t>
      </w:r>
      <w:r w:rsidR="00682155" w:rsidRPr="00682155">
        <w:rPr>
          <w:rFonts w:ascii="Calibri" w:hAnsi="Calibri"/>
          <w:b w:val="0"/>
          <w:bCs/>
          <w:sz w:val="22"/>
          <w:szCs w:val="22"/>
        </w:rPr>
        <w:t>0</w:t>
      </w:r>
      <w:r w:rsidR="00693E46" w:rsidRPr="00682155">
        <w:rPr>
          <w:rFonts w:ascii="Calibri" w:hAnsi="Calibri"/>
          <w:b w:val="0"/>
          <w:bCs/>
          <w:sz w:val="22"/>
          <w:szCs w:val="22"/>
        </w:rPr>
        <w:t xml:space="preserve">% de los mismos y, por otro, los recursos propios generados </w:t>
      </w:r>
      <w:r w:rsidR="00BD08A4">
        <w:rPr>
          <w:rFonts w:ascii="Calibri" w:hAnsi="Calibri"/>
          <w:b w:val="0"/>
          <w:bCs/>
          <w:sz w:val="22"/>
          <w:szCs w:val="22"/>
        </w:rPr>
        <w:t xml:space="preserve">por el OAMC. </w:t>
      </w:r>
      <w:r w:rsidR="00693E46" w:rsidRPr="00682155">
        <w:rPr>
          <w:rFonts w:ascii="Calibri" w:hAnsi="Calibri"/>
          <w:b w:val="0"/>
          <w:bCs/>
          <w:sz w:val="22"/>
          <w:szCs w:val="22"/>
        </w:rPr>
        <w:t>Ten</w:t>
      </w:r>
      <w:r w:rsidR="00AD5D45" w:rsidRPr="00682155">
        <w:rPr>
          <w:rFonts w:ascii="Calibri" w:hAnsi="Calibri"/>
          <w:b w:val="0"/>
          <w:bCs/>
          <w:sz w:val="22"/>
          <w:szCs w:val="22"/>
        </w:rPr>
        <w:t>iendo en cuenta</w:t>
      </w:r>
      <w:r w:rsidR="00BD08A4">
        <w:rPr>
          <w:rFonts w:ascii="Calibri" w:hAnsi="Calibri"/>
          <w:b w:val="0"/>
          <w:bCs/>
          <w:sz w:val="22"/>
          <w:szCs w:val="22"/>
        </w:rPr>
        <w:t xml:space="preserve"> estos aspectos,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los ingresos </w:t>
      </w:r>
      <w:r w:rsidR="00E409C3" w:rsidRPr="00D64BCF">
        <w:rPr>
          <w:rFonts w:ascii="Calibri" w:hAnsi="Calibri"/>
          <w:b w:val="0"/>
          <w:bCs/>
          <w:sz w:val="22"/>
          <w:szCs w:val="22"/>
        </w:rPr>
        <w:t>propios d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el ejercicio </w:t>
      </w:r>
      <w:r w:rsidR="001620C8" w:rsidRPr="00D64BCF">
        <w:rPr>
          <w:rFonts w:ascii="Calibri" w:hAnsi="Calibri"/>
          <w:b w:val="0"/>
          <w:bCs/>
          <w:sz w:val="22"/>
          <w:szCs w:val="22"/>
        </w:rPr>
        <w:t>20</w:t>
      </w:r>
      <w:r w:rsidR="00976CF9" w:rsidRPr="00D64BCF">
        <w:rPr>
          <w:rFonts w:ascii="Calibri" w:hAnsi="Calibri"/>
          <w:b w:val="0"/>
          <w:bCs/>
          <w:sz w:val="22"/>
          <w:szCs w:val="22"/>
        </w:rPr>
        <w:t>1</w:t>
      </w:r>
      <w:r w:rsidR="00B576E3">
        <w:rPr>
          <w:rFonts w:ascii="Calibri" w:hAnsi="Calibri"/>
          <w:b w:val="0"/>
          <w:bCs/>
          <w:sz w:val="22"/>
          <w:szCs w:val="22"/>
        </w:rPr>
        <w:t>9</w:t>
      </w:r>
      <w:r w:rsidR="00BD08A4">
        <w:rPr>
          <w:rFonts w:ascii="Calibri" w:hAnsi="Calibri"/>
          <w:b w:val="0"/>
          <w:bCs/>
          <w:sz w:val="22"/>
          <w:szCs w:val="22"/>
        </w:rPr>
        <w:t xml:space="preserve"> son los únicos susceptibles de valorar, toda vez que las aportaciones de la Corporación, tanto corriente como de capital, están fijadas por la misma</w:t>
      </w:r>
      <w:r w:rsidR="007D0B3F">
        <w:rPr>
          <w:rFonts w:ascii="Calibri" w:hAnsi="Calibri"/>
          <w:b w:val="0"/>
          <w:bCs/>
          <w:sz w:val="22"/>
          <w:szCs w:val="22"/>
        </w:rPr>
        <w:t>. La evaluación de estos ingresos es la siguiente:</w:t>
      </w:r>
    </w:p>
    <w:p w:rsidR="00A03B66" w:rsidRDefault="00A03B66" w:rsidP="008A7B70">
      <w:pPr>
        <w:pStyle w:val="Sangradetextonormal"/>
        <w:ind w:firstLine="567"/>
        <w:rPr>
          <w:rFonts w:ascii="Calibri" w:hAnsi="Calibri"/>
          <w:b w:val="0"/>
          <w:bCs/>
          <w:sz w:val="22"/>
          <w:szCs w:val="22"/>
        </w:rPr>
      </w:pPr>
    </w:p>
    <w:p w:rsidR="00976CF9" w:rsidRPr="007970A3" w:rsidRDefault="00562A19" w:rsidP="00E46834">
      <w:pPr>
        <w:pStyle w:val="Sangradetextonormal"/>
        <w:rPr>
          <w:rFonts w:ascii="Calibri" w:hAnsi="Calibri"/>
          <w:bCs/>
          <w:sz w:val="20"/>
          <w:szCs w:val="20"/>
          <w:u w:val="single"/>
        </w:rPr>
      </w:pPr>
      <w:r>
        <w:rPr>
          <w:rFonts w:ascii="Calibri" w:hAnsi="Calibri"/>
          <w:b w:val="0"/>
          <w:bCs/>
          <w:sz w:val="22"/>
          <w:szCs w:val="22"/>
        </w:rPr>
        <w:lastRenderedPageBreak/>
        <w:t xml:space="preserve">  </w:t>
      </w:r>
      <w:r w:rsidR="00976CF9" w:rsidRPr="007970A3">
        <w:rPr>
          <w:rFonts w:ascii="Calibri" w:hAnsi="Calibri"/>
          <w:bCs/>
          <w:sz w:val="20"/>
          <w:szCs w:val="20"/>
          <w:u w:val="single"/>
        </w:rPr>
        <w:t>CAPÍ</w:t>
      </w:r>
      <w:r w:rsidR="00445412" w:rsidRPr="007970A3">
        <w:rPr>
          <w:rFonts w:ascii="Calibri" w:hAnsi="Calibri"/>
          <w:bCs/>
          <w:sz w:val="20"/>
          <w:szCs w:val="20"/>
          <w:u w:val="single"/>
        </w:rPr>
        <w:t xml:space="preserve">TULO </w:t>
      </w:r>
      <w:r w:rsidR="00C12FDD" w:rsidRPr="007970A3">
        <w:rPr>
          <w:rFonts w:ascii="Calibri" w:hAnsi="Calibri"/>
          <w:bCs/>
          <w:sz w:val="20"/>
          <w:szCs w:val="20"/>
          <w:u w:val="single"/>
        </w:rPr>
        <w:t>3</w:t>
      </w:r>
      <w:r w:rsidR="00445412" w:rsidRPr="007970A3">
        <w:rPr>
          <w:rFonts w:ascii="Calibri" w:hAnsi="Calibri"/>
          <w:bCs/>
          <w:sz w:val="20"/>
          <w:szCs w:val="20"/>
          <w:u w:val="single"/>
        </w:rPr>
        <w:t>: TASAS, PRECIOS PÚBLICOS Y OTROS INGRESOS</w:t>
      </w:r>
    </w:p>
    <w:p w:rsidR="00976CF9" w:rsidRPr="008A02DA" w:rsidRDefault="00976CF9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976CF9" w:rsidRPr="007D662F" w:rsidRDefault="00445412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 w:rsidRPr="008A02DA">
        <w:rPr>
          <w:rFonts w:ascii="Calibri" w:hAnsi="Calibri"/>
          <w:i/>
          <w:iCs/>
          <w:sz w:val="22"/>
          <w:szCs w:val="22"/>
        </w:rPr>
        <w:t>-</w:t>
      </w:r>
      <w:r w:rsidR="00E93CFD" w:rsidRPr="008A02DA">
        <w:rPr>
          <w:rFonts w:ascii="Calibri" w:hAnsi="Calibri"/>
          <w:i/>
          <w:iCs/>
          <w:sz w:val="22"/>
          <w:szCs w:val="22"/>
        </w:rPr>
        <w:t xml:space="preserve"> 329</w:t>
      </w:r>
      <w:r w:rsidR="00DC5558">
        <w:rPr>
          <w:rFonts w:ascii="Calibri" w:hAnsi="Calibri"/>
          <w:i/>
          <w:iCs/>
          <w:sz w:val="22"/>
          <w:szCs w:val="22"/>
        </w:rPr>
        <w:t>.00</w:t>
      </w:r>
      <w:r w:rsidR="00E93CFD" w:rsidRPr="008A02DA">
        <w:rPr>
          <w:rFonts w:ascii="Calibri" w:hAnsi="Calibri"/>
          <w:i/>
          <w:iCs/>
          <w:sz w:val="22"/>
          <w:szCs w:val="22"/>
        </w:rPr>
        <w:t xml:space="preserve"> Derechos de examen</w:t>
      </w:r>
      <w:r w:rsidR="00976CF9" w:rsidRPr="008A02DA">
        <w:rPr>
          <w:rFonts w:ascii="Calibri" w:hAnsi="Calibri"/>
          <w:sz w:val="22"/>
          <w:szCs w:val="22"/>
        </w:rPr>
        <w:t>:</w:t>
      </w:r>
      <w:r w:rsidR="00976CF9" w:rsidRPr="008A02DA">
        <w:rPr>
          <w:rFonts w:ascii="Calibri" w:hAnsi="Calibri"/>
          <w:b w:val="0"/>
          <w:bCs/>
          <w:sz w:val="22"/>
          <w:szCs w:val="22"/>
        </w:rPr>
        <w:t xml:space="preserve"> Corresponden a </w:t>
      </w:r>
      <w:r w:rsidR="008A02DA" w:rsidRPr="008A02DA">
        <w:rPr>
          <w:rFonts w:ascii="Calibri" w:hAnsi="Calibri"/>
          <w:b w:val="0"/>
          <w:bCs/>
          <w:sz w:val="22"/>
          <w:szCs w:val="22"/>
        </w:rPr>
        <w:t xml:space="preserve">las tasas </w:t>
      </w:r>
      <w:r w:rsidR="00976CF9" w:rsidRPr="008A02DA">
        <w:rPr>
          <w:rFonts w:ascii="Calibri" w:hAnsi="Calibri"/>
          <w:b w:val="0"/>
          <w:bCs/>
          <w:sz w:val="22"/>
          <w:szCs w:val="22"/>
        </w:rPr>
        <w:t>por la realización de pruebas selectivas para proveer diversas plazas de</w:t>
      </w:r>
      <w:r w:rsidR="008A02DA" w:rsidRPr="008A02DA">
        <w:rPr>
          <w:rFonts w:ascii="Calibri" w:hAnsi="Calibri"/>
          <w:b w:val="0"/>
          <w:bCs/>
          <w:sz w:val="22"/>
          <w:szCs w:val="22"/>
        </w:rPr>
        <w:t xml:space="preserve"> la plantilla del </w:t>
      </w:r>
      <w:r w:rsidR="00976CF9" w:rsidRPr="008A02DA">
        <w:rPr>
          <w:rFonts w:ascii="Calibri" w:hAnsi="Calibri"/>
          <w:b w:val="0"/>
          <w:bCs/>
          <w:sz w:val="22"/>
          <w:szCs w:val="22"/>
        </w:rPr>
        <w:t xml:space="preserve">personal laboral del Organismo Autónomo de Museos y Centros. En el actual ejercicio </w:t>
      </w:r>
      <w:r w:rsidR="00CB6AED">
        <w:rPr>
          <w:rFonts w:ascii="Calibri" w:hAnsi="Calibri"/>
          <w:b w:val="0"/>
          <w:bCs/>
          <w:sz w:val="22"/>
          <w:szCs w:val="22"/>
        </w:rPr>
        <w:t xml:space="preserve">no </w:t>
      </w:r>
      <w:r w:rsidR="00646DEF" w:rsidRPr="008A02DA">
        <w:rPr>
          <w:rFonts w:ascii="Calibri" w:hAnsi="Calibri"/>
          <w:b w:val="0"/>
          <w:bCs/>
          <w:sz w:val="22"/>
          <w:szCs w:val="22"/>
        </w:rPr>
        <w:t>se han recono</w:t>
      </w:r>
      <w:r w:rsidR="008A02DA" w:rsidRPr="008A02DA">
        <w:rPr>
          <w:rFonts w:ascii="Calibri" w:hAnsi="Calibri"/>
          <w:b w:val="0"/>
          <w:bCs/>
          <w:sz w:val="22"/>
          <w:szCs w:val="22"/>
        </w:rPr>
        <w:t xml:space="preserve">cido </w:t>
      </w:r>
      <w:r w:rsidR="008A02DA" w:rsidRPr="007D662F">
        <w:rPr>
          <w:rFonts w:ascii="Calibri" w:hAnsi="Calibri"/>
          <w:b w:val="0"/>
          <w:bCs/>
          <w:sz w:val="22"/>
          <w:szCs w:val="22"/>
        </w:rPr>
        <w:t xml:space="preserve">derechos por este </w:t>
      </w:r>
      <w:r w:rsidR="007D0B3F">
        <w:rPr>
          <w:rFonts w:ascii="Calibri" w:hAnsi="Calibri"/>
          <w:b w:val="0"/>
          <w:bCs/>
          <w:sz w:val="22"/>
          <w:szCs w:val="22"/>
        </w:rPr>
        <w:t>sub</w:t>
      </w:r>
      <w:r w:rsidR="008A02DA" w:rsidRPr="007D662F">
        <w:rPr>
          <w:rFonts w:ascii="Calibri" w:hAnsi="Calibri"/>
          <w:b w:val="0"/>
          <w:bCs/>
          <w:sz w:val="22"/>
          <w:szCs w:val="22"/>
        </w:rPr>
        <w:t>concepto</w:t>
      </w:r>
      <w:r w:rsidR="00CB6AED" w:rsidRPr="007D662F">
        <w:rPr>
          <w:rFonts w:ascii="Calibri" w:hAnsi="Calibri"/>
          <w:b w:val="0"/>
          <w:bCs/>
          <w:sz w:val="22"/>
          <w:szCs w:val="22"/>
        </w:rPr>
        <w:t xml:space="preserve">, </w:t>
      </w:r>
      <w:r w:rsidR="00F543BB">
        <w:rPr>
          <w:rFonts w:ascii="Calibri" w:hAnsi="Calibri"/>
          <w:b w:val="0"/>
          <w:bCs/>
          <w:sz w:val="22"/>
          <w:szCs w:val="22"/>
        </w:rPr>
        <w:t xml:space="preserve">por lo cual se han disminuido las previsiones con respecto al ejercicio 2018, </w:t>
      </w:r>
      <w:r w:rsidR="007D0B3F">
        <w:rPr>
          <w:rFonts w:ascii="Calibri" w:hAnsi="Calibri"/>
          <w:b w:val="0"/>
          <w:bCs/>
          <w:sz w:val="22"/>
          <w:szCs w:val="22"/>
        </w:rPr>
        <w:t xml:space="preserve">fijándose en </w:t>
      </w:r>
      <w:r w:rsidR="00F543BB">
        <w:rPr>
          <w:rFonts w:ascii="Calibri" w:hAnsi="Calibri"/>
          <w:b w:val="0"/>
          <w:bCs/>
          <w:sz w:val="22"/>
          <w:szCs w:val="22"/>
        </w:rPr>
        <w:t>5</w:t>
      </w:r>
      <w:r w:rsidR="007D662F" w:rsidRPr="007D662F">
        <w:rPr>
          <w:rFonts w:ascii="Calibri" w:hAnsi="Calibri"/>
          <w:b w:val="0"/>
          <w:bCs/>
          <w:sz w:val="22"/>
          <w:szCs w:val="22"/>
        </w:rPr>
        <w:t>00 €.</w:t>
      </w:r>
    </w:p>
    <w:p w:rsidR="00D21369" w:rsidRPr="00D64BCF" w:rsidRDefault="00D21369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38711E" w:rsidRDefault="00445412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 w:rsidRPr="008C369F">
        <w:rPr>
          <w:rFonts w:ascii="Calibri" w:hAnsi="Calibri"/>
          <w:bCs/>
          <w:sz w:val="22"/>
          <w:szCs w:val="22"/>
        </w:rPr>
        <w:t>-</w:t>
      </w:r>
      <w:r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E93CFD" w:rsidRPr="00E93CFD">
        <w:rPr>
          <w:rFonts w:ascii="Calibri" w:hAnsi="Calibri"/>
          <w:bCs/>
          <w:i/>
          <w:sz w:val="22"/>
          <w:szCs w:val="22"/>
        </w:rPr>
        <w:t>344</w:t>
      </w:r>
      <w:r w:rsidR="00DC5558">
        <w:rPr>
          <w:rFonts w:ascii="Calibri" w:hAnsi="Calibri"/>
          <w:bCs/>
          <w:i/>
          <w:sz w:val="22"/>
          <w:szCs w:val="22"/>
        </w:rPr>
        <w:t>.00</w:t>
      </w:r>
      <w:r w:rsidR="00E93CFD" w:rsidRPr="00E93CFD">
        <w:rPr>
          <w:rFonts w:ascii="Calibri" w:hAnsi="Calibri"/>
          <w:bCs/>
          <w:i/>
          <w:sz w:val="22"/>
          <w:szCs w:val="22"/>
        </w:rPr>
        <w:t xml:space="preserve"> </w:t>
      </w:r>
      <w:r w:rsidRPr="00E93CFD">
        <w:rPr>
          <w:rFonts w:ascii="Calibri" w:hAnsi="Calibri"/>
          <w:bCs/>
          <w:i/>
          <w:sz w:val="22"/>
          <w:szCs w:val="22"/>
        </w:rPr>
        <w:t xml:space="preserve">Entradas a los </w:t>
      </w:r>
      <w:r w:rsidR="001305FF">
        <w:rPr>
          <w:rFonts w:ascii="Calibri" w:hAnsi="Calibri"/>
          <w:bCs/>
          <w:i/>
          <w:sz w:val="22"/>
          <w:szCs w:val="22"/>
        </w:rPr>
        <w:t>m</w:t>
      </w:r>
      <w:r w:rsidRPr="00E93CFD">
        <w:rPr>
          <w:rFonts w:ascii="Calibri" w:hAnsi="Calibri"/>
          <w:bCs/>
          <w:i/>
          <w:sz w:val="22"/>
          <w:szCs w:val="22"/>
        </w:rPr>
        <w:t>useos</w:t>
      </w:r>
      <w:r w:rsidRPr="00E93CFD">
        <w:rPr>
          <w:rFonts w:ascii="Calibri" w:hAnsi="Calibri"/>
          <w:b w:val="0"/>
          <w:bCs/>
          <w:sz w:val="22"/>
          <w:szCs w:val="22"/>
        </w:rPr>
        <w:t>:</w:t>
      </w:r>
      <w:r w:rsidR="008A02DA">
        <w:rPr>
          <w:rFonts w:ascii="Calibri" w:hAnsi="Calibri"/>
          <w:b w:val="0"/>
          <w:bCs/>
          <w:sz w:val="22"/>
          <w:szCs w:val="22"/>
        </w:rPr>
        <w:t xml:space="preserve"> </w:t>
      </w:r>
      <w:r w:rsidR="007D0B3F">
        <w:rPr>
          <w:rFonts w:ascii="Calibri" w:hAnsi="Calibri"/>
          <w:b w:val="0"/>
          <w:bCs/>
          <w:sz w:val="22"/>
          <w:szCs w:val="22"/>
        </w:rPr>
        <w:t xml:space="preserve">Los derechos recaudados en concepto </w:t>
      </w:r>
      <w:r w:rsidR="001305FF">
        <w:rPr>
          <w:rFonts w:ascii="Calibri" w:hAnsi="Calibri"/>
          <w:b w:val="0"/>
          <w:bCs/>
          <w:sz w:val="22"/>
          <w:szCs w:val="22"/>
        </w:rPr>
        <w:t xml:space="preserve">de entradas a fecha </w:t>
      </w:r>
      <w:r w:rsidR="00C85497">
        <w:rPr>
          <w:rFonts w:ascii="Calibri" w:hAnsi="Calibri"/>
          <w:b w:val="0"/>
          <w:bCs/>
          <w:sz w:val="22"/>
          <w:szCs w:val="22"/>
        </w:rPr>
        <w:t>29 de julio de 2018</w:t>
      </w:r>
      <w:r w:rsidR="001305FF">
        <w:rPr>
          <w:rFonts w:ascii="Calibri" w:hAnsi="Calibri"/>
          <w:b w:val="0"/>
          <w:bCs/>
          <w:sz w:val="22"/>
          <w:szCs w:val="22"/>
        </w:rPr>
        <w:t xml:space="preserve">, ascienden a </w:t>
      </w:r>
      <w:r w:rsidR="00C85497">
        <w:rPr>
          <w:rFonts w:ascii="Calibri" w:hAnsi="Calibri"/>
          <w:b w:val="0"/>
          <w:bCs/>
          <w:sz w:val="22"/>
          <w:szCs w:val="22"/>
        </w:rPr>
        <w:t xml:space="preserve">150.261,79 </w:t>
      </w:r>
      <w:r w:rsidR="001305FF">
        <w:rPr>
          <w:rFonts w:ascii="Calibri" w:hAnsi="Calibri"/>
          <w:b w:val="0"/>
          <w:bCs/>
          <w:sz w:val="22"/>
          <w:szCs w:val="22"/>
        </w:rPr>
        <w:t>€. Haciendo una proyección hasta el 31 de diciembre, se prevé</w:t>
      </w:r>
      <w:r w:rsidR="00615864">
        <w:rPr>
          <w:rFonts w:ascii="Calibri" w:hAnsi="Calibri"/>
          <w:b w:val="0"/>
          <w:bCs/>
          <w:sz w:val="22"/>
          <w:szCs w:val="22"/>
        </w:rPr>
        <w:t>n unos</w:t>
      </w:r>
      <w:r w:rsidR="001305FF">
        <w:rPr>
          <w:rFonts w:ascii="Calibri" w:hAnsi="Calibri"/>
          <w:b w:val="0"/>
          <w:bCs/>
          <w:sz w:val="22"/>
          <w:szCs w:val="22"/>
        </w:rPr>
        <w:t xml:space="preserve"> derechos reconocidos</w:t>
      </w:r>
      <w:r w:rsidR="00F543BB">
        <w:rPr>
          <w:rFonts w:ascii="Calibri" w:hAnsi="Calibri"/>
          <w:b w:val="0"/>
          <w:bCs/>
          <w:sz w:val="22"/>
          <w:szCs w:val="22"/>
        </w:rPr>
        <w:t xml:space="preserve"> superiores a las previsiones iniciales de 212.000 €, </w:t>
      </w:r>
      <w:r w:rsidR="00615864">
        <w:rPr>
          <w:rFonts w:ascii="Calibri" w:hAnsi="Calibri"/>
          <w:b w:val="0"/>
          <w:bCs/>
          <w:sz w:val="22"/>
          <w:szCs w:val="22"/>
        </w:rPr>
        <w:t>por lo que pa</w:t>
      </w:r>
      <w:r w:rsidR="008A02DA">
        <w:rPr>
          <w:rFonts w:ascii="Calibri" w:hAnsi="Calibri"/>
          <w:b w:val="0"/>
          <w:bCs/>
          <w:sz w:val="22"/>
          <w:szCs w:val="22"/>
        </w:rPr>
        <w:t>ra el próximo</w:t>
      </w:r>
      <w:r w:rsidR="00F543BB">
        <w:rPr>
          <w:rFonts w:ascii="Calibri" w:hAnsi="Calibri"/>
          <w:b w:val="0"/>
          <w:bCs/>
          <w:sz w:val="22"/>
          <w:szCs w:val="22"/>
        </w:rPr>
        <w:t xml:space="preserve"> ejercicio</w:t>
      </w:r>
      <w:r w:rsidR="008A02DA">
        <w:rPr>
          <w:rFonts w:ascii="Calibri" w:hAnsi="Calibri"/>
          <w:b w:val="0"/>
          <w:bCs/>
          <w:sz w:val="22"/>
          <w:szCs w:val="22"/>
        </w:rPr>
        <w:t xml:space="preserve"> </w:t>
      </w:r>
      <w:r w:rsidR="00B31428">
        <w:rPr>
          <w:rFonts w:ascii="Calibri" w:hAnsi="Calibri"/>
          <w:b w:val="0"/>
          <w:bCs/>
          <w:sz w:val="22"/>
          <w:szCs w:val="22"/>
        </w:rPr>
        <w:t xml:space="preserve">se mantienen </w:t>
      </w:r>
      <w:r w:rsidR="00FE6151">
        <w:rPr>
          <w:rFonts w:ascii="Calibri" w:hAnsi="Calibri"/>
          <w:b w:val="0"/>
          <w:bCs/>
          <w:sz w:val="22"/>
          <w:szCs w:val="22"/>
        </w:rPr>
        <w:t>la</w:t>
      </w:r>
      <w:r w:rsidR="0038711E">
        <w:rPr>
          <w:rFonts w:ascii="Calibri" w:hAnsi="Calibri"/>
          <w:b w:val="0"/>
          <w:bCs/>
          <w:sz w:val="22"/>
          <w:szCs w:val="22"/>
        </w:rPr>
        <w:t>s</w:t>
      </w:r>
      <w:r w:rsidR="00FE6151">
        <w:rPr>
          <w:rFonts w:ascii="Calibri" w:hAnsi="Calibri"/>
          <w:b w:val="0"/>
          <w:bCs/>
          <w:sz w:val="22"/>
          <w:szCs w:val="22"/>
        </w:rPr>
        <w:t xml:space="preserve"> </w:t>
      </w:r>
      <w:r w:rsidR="00A03B66">
        <w:rPr>
          <w:rFonts w:ascii="Calibri" w:hAnsi="Calibri"/>
          <w:b w:val="0"/>
          <w:bCs/>
          <w:sz w:val="22"/>
          <w:szCs w:val="22"/>
        </w:rPr>
        <w:t>mismas previsiones</w:t>
      </w:r>
      <w:r w:rsidR="00ED29F3">
        <w:rPr>
          <w:rFonts w:ascii="Calibri" w:hAnsi="Calibri"/>
          <w:b w:val="0"/>
          <w:bCs/>
          <w:sz w:val="22"/>
          <w:szCs w:val="22"/>
        </w:rPr>
        <w:t>.</w:t>
      </w:r>
    </w:p>
    <w:p w:rsidR="001305FF" w:rsidRDefault="001305FF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AE6D16" w:rsidRPr="008C369F" w:rsidRDefault="00540432" w:rsidP="00E46834">
      <w:pPr>
        <w:pStyle w:val="Sangradetextonormal"/>
        <w:rPr>
          <w:rFonts w:ascii="Calibri" w:hAnsi="Calibri"/>
          <w:b w:val="0"/>
          <w:bCs/>
          <w:color w:val="FF0000"/>
          <w:sz w:val="22"/>
          <w:szCs w:val="22"/>
        </w:rPr>
      </w:pPr>
      <w:r w:rsidRPr="008C369F">
        <w:rPr>
          <w:rFonts w:ascii="Calibri" w:hAnsi="Calibri"/>
          <w:bCs/>
          <w:sz w:val="22"/>
          <w:szCs w:val="22"/>
        </w:rPr>
        <w:t xml:space="preserve">- </w:t>
      </w:r>
      <w:r w:rsidR="00E93CFD" w:rsidRPr="00E93CFD">
        <w:rPr>
          <w:rFonts w:ascii="Calibri" w:hAnsi="Calibri"/>
          <w:bCs/>
          <w:i/>
          <w:sz w:val="22"/>
          <w:szCs w:val="22"/>
        </w:rPr>
        <w:t>346</w:t>
      </w:r>
      <w:r w:rsidR="00DC5558">
        <w:rPr>
          <w:rFonts w:ascii="Calibri" w:hAnsi="Calibri"/>
          <w:bCs/>
          <w:i/>
          <w:sz w:val="22"/>
          <w:szCs w:val="22"/>
        </w:rPr>
        <w:t>.00</w:t>
      </w:r>
      <w:r w:rsidR="00E93CFD" w:rsidRPr="00E93CFD">
        <w:rPr>
          <w:rFonts w:ascii="Calibri" w:hAnsi="Calibri"/>
          <w:bCs/>
          <w:i/>
          <w:sz w:val="22"/>
          <w:szCs w:val="22"/>
        </w:rPr>
        <w:t xml:space="preserve"> </w:t>
      </w:r>
      <w:r w:rsidR="00445412" w:rsidRPr="00E93CFD">
        <w:rPr>
          <w:rFonts w:ascii="Calibri" w:hAnsi="Calibri"/>
          <w:bCs/>
          <w:i/>
          <w:sz w:val="22"/>
          <w:szCs w:val="22"/>
        </w:rPr>
        <w:t>Utilización de espacios e infraestructuras:</w:t>
      </w:r>
      <w:r w:rsidR="00445412" w:rsidRPr="00D64BCF">
        <w:rPr>
          <w:rFonts w:ascii="Calibri" w:hAnsi="Calibri"/>
          <w:bCs/>
          <w:sz w:val="22"/>
          <w:szCs w:val="22"/>
        </w:rPr>
        <w:t xml:space="preserve"> </w:t>
      </w:r>
      <w:r w:rsidR="008C369F" w:rsidRPr="008C369F">
        <w:rPr>
          <w:rFonts w:ascii="Calibri" w:hAnsi="Calibri"/>
          <w:b w:val="0"/>
          <w:bCs/>
          <w:sz w:val="22"/>
          <w:szCs w:val="22"/>
        </w:rPr>
        <w:t>A</w:t>
      </w:r>
      <w:r w:rsidR="008C369F">
        <w:rPr>
          <w:rFonts w:ascii="Calibri" w:hAnsi="Calibri"/>
          <w:b w:val="0"/>
          <w:bCs/>
          <w:sz w:val="22"/>
          <w:szCs w:val="22"/>
        </w:rPr>
        <w:t xml:space="preserve"> la vista de los derechos recaudados en el ejercicio </w:t>
      </w:r>
      <w:r w:rsidR="007D662F" w:rsidRPr="00DA6F9D">
        <w:rPr>
          <w:rFonts w:ascii="Calibri" w:hAnsi="Calibri"/>
          <w:b w:val="0"/>
          <w:bCs/>
          <w:sz w:val="22"/>
          <w:szCs w:val="22"/>
        </w:rPr>
        <w:t>corriente,</w:t>
      </w:r>
      <w:r w:rsidR="008C369F" w:rsidRPr="00DA6F9D">
        <w:rPr>
          <w:rFonts w:ascii="Calibri" w:hAnsi="Calibri"/>
          <w:b w:val="0"/>
          <w:bCs/>
          <w:sz w:val="22"/>
          <w:szCs w:val="22"/>
        </w:rPr>
        <w:t xml:space="preserve"> </w:t>
      </w:r>
      <w:r w:rsidR="00F543BB">
        <w:rPr>
          <w:rFonts w:ascii="Calibri" w:hAnsi="Calibri"/>
          <w:b w:val="0"/>
          <w:bCs/>
          <w:sz w:val="22"/>
          <w:szCs w:val="22"/>
        </w:rPr>
        <w:t xml:space="preserve">los cuales ascienden al día de la fecha a 14.817 €, </w:t>
      </w:r>
      <w:r w:rsidR="008C369F" w:rsidRPr="00DA6F9D">
        <w:rPr>
          <w:rFonts w:ascii="Calibri" w:hAnsi="Calibri"/>
          <w:b w:val="0"/>
          <w:bCs/>
          <w:sz w:val="22"/>
          <w:szCs w:val="22"/>
        </w:rPr>
        <w:t>s</w:t>
      </w:r>
      <w:r w:rsidR="005B377F" w:rsidRPr="00DA6F9D">
        <w:rPr>
          <w:rFonts w:ascii="Calibri" w:hAnsi="Calibri"/>
          <w:b w:val="0"/>
          <w:bCs/>
          <w:sz w:val="22"/>
          <w:szCs w:val="22"/>
        </w:rPr>
        <w:t xml:space="preserve">e aumentan las previsiones en </w:t>
      </w:r>
      <w:r w:rsidR="00F543BB">
        <w:rPr>
          <w:rFonts w:ascii="Calibri" w:hAnsi="Calibri"/>
          <w:b w:val="0"/>
          <w:bCs/>
          <w:sz w:val="22"/>
          <w:szCs w:val="22"/>
        </w:rPr>
        <w:t>3.270</w:t>
      </w:r>
      <w:r w:rsidR="008C369F" w:rsidRPr="00DA6F9D">
        <w:rPr>
          <w:rFonts w:ascii="Calibri" w:hAnsi="Calibri"/>
          <w:b w:val="0"/>
          <w:bCs/>
          <w:sz w:val="22"/>
          <w:szCs w:val="22"/>
        </w:rPr>
        <w:t xml:space="preserve"> € </w:t>
      </w:r>
      <w:r w:rsidR="00BC5737" w:rsidRPr="00DA6F9D">
        <w:rPr>
          <w:rFonts w:ascii="Calibri" w:hAnsi="Calibri"/>
          <w:b w:val="0"/>
          <w:bCs/>
          <w:sz w:val="22"/>
          <w:szCs w:val="22"/>
        </w:rPr>
        <w:t xml:space="preserve">con respecto al </w:t>
      </w:r>
      <w:r w:rsidR="00434A79" w:rsidRPr="00DA6F9D">
        <w:rPr>
          <w:rFonts w:ascii="Calibri" w:hAnsi="Calibri"/>
          <w:b w:val="0"/>
          <w:bCs/>
          <w:sz w:val="22"/>
          <w:szCs w:val="22"/>
        </w:rPr>
        <w:t>ejercicio 201</w:t>
      </w:r>
      <w:r w:rsidR="00F543BB">
        <w:rPr>
          <w:rFonts w:ascii="Calibri" w:hAnsi="Calibri"/>
          <w:b w:val="0"/>
          <w:bCs/>
          <w:sz w:val="22"/>
          <w:szCs w:val="22"/>
        </w:rPr>
        <w:t>9</w:t>
      </w:r>
      <w:r w:rsidR="008C369F" w:rsidRPr="00DA6F9D">
        <w:rPr>
          <w:rFonts w:ascii="Calibri" w:hAnsi="Calibri"/>
          <w:b w:val="0"/>
          <w:bCs/>
          <w:sz w:val="22"/>
          <w:szCs w:val="22"/>
        </w:rPr>
        <w:t xml:space="preserve">, estableciéndose en </w:t>
      </w:r>
      <w:r w:rsidR="00F543BB">
        <w:rPr>
          <w:rFonts w:ascii="Calibri" w:hAnsi="Calibri"/>
          <w:b w:val="0"/>
          <w:bCs/>
          <w:sz w:val="22"/>
          <w:szCs w:val="22"/>
        </w:rPr>
        <w:t>9.961,13</w:t>
      </w:r>
      <w:r w:rsidR="008C369F" w:rsidRPr="00DA6F9D">
        <w:rPr>
          <w:rFonts w:ascii="Calibri" w:hAnsi="Calibri"/>
          <w:b w:val="0"/>
          <w:bCs/>
          <w:sz w:val="22"/>
          <w:szCs w:val="22"/>
        </w:rPr>
        <w:t xml:space="preserve"> €.</w:t>
      </w:r>
    </w:p>
    <w:p w:rsidR="00434A79" w:rsidRDefault="00434A79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3F23C4" w:rsidRDefault="0026620E" w:rsidP="00E46834">
      <w:pPr>
        <w:pStyle w:val="Sangradetextonormal"/>
        <w:numPr>
          <w:ilvl w:val="0"/>
          <w:numId w:val="3"/>
        </w:numPr>
        <w:ind w:left="0" w:firstLine="540"/>
        <w:rPr>
          <w:rFonts w:ascii="Calibri" w:hAnsi="Calibri"/>
          <w:b w:val="0"/>
          <w:bCs/>
          <w:sz w:val="22"/>
          <w:szCs w:val="22"/>
        </w:rPr>
      </w:pPr>
      <w:r w:rsidRPr="00695977">
        <w:rPr>
          <w:rFonts w:ascii="Calibri" w:hAnsi="Calibri"/>
          <w:bCs/>
          <w:i/>
          <w:sz w:val="22"/>
          <w:szCs w:val="22"/>
        </w:rPr>
        <w:t>349</w:t>
      </w:r>
      <w:r w:rsidR="00DC5558" w:rsidRPr="00695977">
        <w:rPr>
          <w:rFonts w:ascii="Calibri" w:hAnsi="Calibri"/>
          <w:bCs/>
          <w:i/>
          <w:sz w:val="22"/>
          <w:szCs w:val="22"/>
        </w:rPr>
        <w:t>.00</w:t>
      </w:r>
      <w:r w:rsidRPr="00695977">
        <w:rPr>
          <w:rFonts w:ascii="Calibri" w:hAnsi="Calibri"/>
          <w:bCs/>
          <w:i/>
          <w:sz w:val="22"/>
          <w:szCs w:val="22"/>
        </w:rPr>
        <w:t xml:space="preserve"> Otros precios</w:t>
      </w:r>
      <w:r w:rsidRPr="00695977">
        <w:rPr>
          <w:rFonts w:ascii="Calibri" w:hAnsi="Calibri"/>
          <w:b w:val="0"/>
          <w:bCs/>
          <w:sz w:val="22"/>
          <w:szCs w:val="22"/>
          <w:lang w:val="es-ES"/>
        </w:rPr>
        <w:t xml:space="preserve"> </w:t>
      </w:r>
      <w:r w:rsidRPr="00695977">
        <w:rPr>
          <w:rFonts w:ascii="Calibri" w:hAnsi="Calibri"/>
          <w:bCs/>
          <w:i/>
          <w:sz w:val="22"/>
          <w:szCs w:val="22"/>
        </w:rPr>
        <w:t xml:space="preserve">públicos: </w:t>
      </w:r>
      <w:r w:rsidRPr="00695977">
        <w:rPr>
          <w:rFonts w:ascii="Calibri" w:hAnsi="Calibri"/>
          <w:b w:val="0"/>
          <w:bCs/>
          <w:sz w:val="22"/>
          <w:szCs w:val="22"/>
        </w:rPr>
        <w:t xml:space="preserve">En este </w:t>
      </w:r>
      <w:r w:rsidR="007B5007" w:rsidRPr="00695977">
        <w:rPr>
          <w:rFonts w:ascii="Calibri" w:hAnsi="Calibri"/>
          <w:b w:val="0"/>
          <w:bCs/>
          <w:sz w:val="22"/>
          <w:szCs w:val="22"/>
        </w:rPr>
        <w:t>sub</w:t>
      </w:r>
      <w:r w:rsidRPr="00695977">
        <w:rPr>
          <w:rFonts w:ascii="Calibri" w:hAnsi="Calibri"/>
          <w:b w:val="0"/>
          <w:bCs/>
          <w:sz w:val="22"/>
          <w:szCs w:val="22"/>
        </w:rPr>
        <w:t>concepto se ha</w:t>
      </w:r>
      <w:r w:rsidR="00363451" w:rsidRPr="00695977">
        <w:rPr>
          <w:rFonts w:ascii="Calibri" w:hAnsi="Calibri"/>
          <w:b w:val="0"/>
          <w:bCs/>
          <w:sz w:val="22"/>
          <w:szCs w:val="22"/>
        </w:rPr>
        <w:t xml:space="preserve">n </w:t>
      </w:r>
      <w:r w:rsidR="00695977" w:rsidRPr="00695977">
        <w:rPr>
          <w:rFonts w:ascii="Calibri" w:hAnsi="Calibri"/>
          <w:b w:val="0"/>
          <w:bCs/>
          <w:sz w:val="22"/>
          <w:szCs w:val="22"/>
        </w:rPr>
        <w:t xml:space="preserve">configurado </w:t>
      </w:r>
      <w:r w:rsidR="00363451" w:rsidRPr="00695977">
        <w:rPr>
          <w:rFonts w:ascii="Calibri" w:hAnsi="Calibri"/>
          <w:b w:val="0"/>
          <w:bCs/>
          <w:sz w:val="22"/>
          <w:szCs w:val="22"/>
        </w:rPr>
        <w:t xml:space="preserve">unas previsiones de </w:t>
      </w:r>
      <w:r w:rsidR="00BB5CBF" w:rsidRPr="00695977">
        <w:rPr>
          <w:rFonts w:ascii="Calibri" w:hAnsi="Calibri"/>
          <w:b w:val="0"/>
          <w:bCs/>
          <w:sz w:val="22"/>
          <w:szCs w:val="22"/>
        </w:rPr>
        <w:t>272.930</w:t>
      </w:r>
      <w:r w:rsidR="00826A87" w:rsidRPr="00695977">
        <w:rPr>
          <w:rFonts w:ascii="Calibri" w:hAnsi="Calibri"/>
          <w:b w:val="0"/>
          <w:bCs/>
          <w:sz w:val="22"/>
          <w:szCs w:val="22"/>
        </w:rPr>
        <w:t xml:space="preserve"> €</w:t>
      </w:r>
      <w:r w:rsidR="00363451" w:rsidRPr="00695977">
        <w:rPr>
          <w:rFonts w:ascii="Calibri" w:hAnsi="Calibri"/>
          <w:b w:val="0"/>
          <w:bCs/>
          <w:sz w:val="22"/>
          <w:szCs w:val="22"/>
        </w:rPr>
        <w:t xml:space="preserve">, </w:t>
      </w:r>
      <w:r w:rsidR="00A13593" w:rsidRPr="00695977">
        <w:rPr>
          <w:rFonts w:ascii="Calibri" w:hAnsi="Calibri"/>
          <w:b w:val="0"/>
          <w:bCs/>
          <w:sz w:val="22"/>
          <w:szCs w:val="22"/>
        </w:rPr>
        <w:t>las</w:t>
      </w:r>
      <w:r w:rsidR="00C14335" w:rsidRPr="00695977">
        <w:rPr>
          <w:rFonts w:ascii="Calibri" w:hAnsi="Calibri"/>
          <w:b w:val="0"/>
          <w:bCs/>
          <w:sz w:val="22"/>
          <w:szCs w:val="22"/>
        </w:rPr>
        <w:t xml:space="preserve"> cuales c</w:t>
      </w:r>
      <w:r w:rsidR="003F23C4" w:rsidRPr="00695977">
        <w:rPr>
          <w:rFonts w:ascii="Calibri" w:hAnsi="Calibri"/>
          <w:b w:val="0"/>
          <w:bCs/>
          <w:sz w:val="22"/>
          <w:szCs w:val="22"/>
        </w:rPr>
        <w:t>orrespond</w:t>
      </w:r>
      <w:r w:rsidR="00C14335" w:rsidRPr="00695977">
        <w:rPr>
          <w:rFonts w:ascii="Calibri" w:hAnsi="Calibri"/>
          <w:b w:val="0"/>
          <w:bCs/>
          <w:sz w:val="22"/>
          <w:szCs w:val="22"/>
        </w:rPr>
        <w:t xml:space="preserve">en </w:t>
      </w:r>
      <w:r w:rsidR="00695977">
        <w:rPr>
          <w:rFonts w:ascii="Calibri" w:hAnsi="Calibri"/>
          <w:b w:val="0"/>
          <w:bCs/>
          <w:sz w:val="22"/>
          <w:szCs w:val="22"/>
        </w:rPr>
        <w:t xml:space="preserve">a </w:t>
      </w:r>
      <w:r w:rsidR="00252E48" w:rsidRPr="00695977">
        <w:rPr>
          <w:rFonts w:ascii="Calibri" w:hAnsi="Calibri"/>
          <w:b w:val="0"/>
          <w:bCs/>
          <w:sz w:val="22"/>
          <w:szCs w:val="22"/>
        </w:rPr>
        <w:t xml:space="preserve">las previsiones de ingresos </w:t>
      </w:r>
      <w:r w:rsidR="00A13593" w:rsidRPr="00695977">
        <w:rPr>
          <w:rFonts w:ascii="Calibri" w:hAnsi="Calibri"/>
          <w:b w:val="0"/>
          <w:bCs/>
          <w:sz w:val="22"/>
          <w:szCs w:val="22"/>
        </w:rPr>
        <w:t xml:space="preserve">de </w:t>
      </w:r>
      <w:r w:rsidR="00C14335" w:rsidRPr="00695977">
        <w:rPr>
          <w:rFonts w:ascii="Calibri" w:hAnsi="Calibri"/>
          <w:b w:val="0"/>
          <w:bCs/>
          <w:sz w:val="22"/>
          <w:szCs w:val="22"/>
        </w:rPr>
        <w:t xml:space="preserve">la </w:t>
      </w:r>
      <w:r w:rsidR="0012205B" w:rsidRPr="00695977">
        <w:rPr>
          <w:rFonts w:ascii="Calibri" w:hAnsi="Calibri"/>
          <w:b w:val="0"/>
          <w:bCs/>
          <w:sz w:val="22"/>
          <w:szCs w:val="22"/>
        </w:rPr>
        <w:t>encomienda de g</w:t>
      </w:r>
      <w:r w:rsidR="00363451" w:rsidRPr="00695977">
        <w:rPr>
          <w:rFonts w:ascii="Calibri" w:hAnsi="Calibri"/>
          <w:b w:val="0"/>
          <w:bCs/>
          <w:sz w:val="22"/>
          <w:szCs w:val="22"/>
        </w:rPr>
        <w:t>estión de</w:t>
      </w:r>
      <w:r w:rsidR="0012205B" w:rsidRPr="00695977">
        <w:rPr>
          <w:rFonts w:ascii="Calibri" w:hAnsi="Calibri"/>
          <w:b w:val="0"/>
          <w:bCs/>
          <w:sz w:val="22"/>
          <w:szCs w:val="22"/>
        </w:rPr>
        <w:t>l Parque Geológico de la Cueva del Viento a la entidad IDECO SAU</w:t>
      </w:r>
      <w:r w:rsidR="003F23C4" w:rsidRPr="00695977">
        <w:rPr>
          <w:rFonts w:ascii="Calibri" w:hAnsi="Calibri"/>
          <w:b w:val="0"/>
          <w:bCs/>
          <w:sz w:val="22"/>
          <w:szCs w:val="22"/>
        </w:rPr>
        <w:t xml:space="preserve">, </w:t>
      </w:r>
      <w:r w:rsidR="00695977">
        <w:rPr>
          <w:rFonts w:ascii="Calibri" w:hAnsi="Calibri"/>
          <w:b w:val="0"/>
          <w:bCs/>
          <w:sz w:val="22"/>
          <w:szCs w:val="22"/>
        </w:rPr>
        <w:t>y que tienen su reflejo por el mismo importe en el presupuesto de gastos.</w:t>
      </w:r>
    </w:p>
    <w:p w:rsidR="00695977" w:rsidRPr="00695977" w:rsidRDefault="00695977" w:rsidP="00695977">
      <w:pPr>
        <w:pStyle w:val="Sangradetextonormal"/>
        <w:ind w:left="540" w:firstLine="0"/>
        <w:rPr>
          <w:rFonts w:ascii="Calibri" w:hAnsi="Calibri"/>
          <w:b w:val="0"/>
          <w:bCs/>
          <w:sz w:val="22"/>
          <w:szCs w:val="22"/>
        </w:rPr>
      </w:pPr>
    </w:p>
    <w:p w:rsidR="00B96B74" w:rsidRPr="00D64BCF" w:rsidRDefault="00453221" w:rsidP="00E46834">
      <w:pPr>
        <w:pStyle w:val="Sangradetextonormal"/>
        <w:numPr>
          <w:ilvl w:val="0"/>
          <w:numId w:val="3"/>
        </w:numPr>
        <w:ind w:left="0" w:firstLine="540"/>
        <w:rPr>
          <w:rFonts w:ascii="Calibri" w:hAnsi="Calibri"/>
          <w:b w:val="0"/>
          <w:bCs/>
          <w:sz w:val="22"/>
          <w:szCs w:val="22"/>
        </w:rPr>
      </w:pPr>
      <w:r w:rsidRPr="00453221">
        <w:rPr>
          <w:rFonts w:ascii="Calibri" w:hAnsi="Calibri"/>
          <w:i/>
          <w:sz w:val="22"/>
          <w:szCs w:val="22"/>
        </w:rPr>
        <w:t>360</w:t>
      </w:r>
      <w:r w:rsidR="00DC5558">
        <w:rPr>
          <w:rFonts w:ascii="Calibri" w:hAnsi="Calibri"/>
          <w:i/>
          <w:sz w:val="22"/>
          <w:szCs w:val="22"/>
        </w:rPr>
        <w:t>.00</w:t>
      </w:r>
      <w:r w:rsidRPr="00453221">
        <w:rPr>
          <w:rFonts w:ascii="Calibri" w:hAnsi="Calibri"/>
          <w:i/>
          <w:sz w:val="22"/>
          <w:szCs w:val="22"/>
        </w:rPr>
        <w:t xml:space="preserve"> </w:t>
      </w:r>
      <w:r w:rsidR="00FC0566" w:rsidRPr="00453221">
        <w:rPr>
          <w:rFonts w:ascii="Calibri" w:hAnsi="Calibri"/>
          <w:i/>
          <w:sz w:val="22"/>
          <w:szCs w:val="22"/>
        </w:rPr>
        <w:t>Venta de productos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: En el ejercicio corriente estaban previstos para este </w:t>
      </w:r>
      <w:r w:rsidR="007B5007">
        <w:rPr>
          <w:rFonts w:ascii="Calibri" w:hAnsi="Calibri"/>
          <w:b w:val="0"/>
          <w:bCs/>
          <w:sz w:val="22"/>
          <w:szCs w:val="22"/>
        </w:rPr>
        <w:t>sub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concepto </w:t>
      </w:r>
      <w:r w:rsidR="00EA7560">
        <w:rPr>
          <w:rFonts w:ascii="Calibri" w:hAnsi="Calibri"/>
          <w:b w:val="0"/>
          <w:bCs/>
          <w:sz w:val="22"/>
          <w:szCs w:val="22"/>
        </w:rPr>
        <w:t>20</w:t>
      </w:r>
      <w:r w:rsidR="008314CC" w:rsidRPr="00D64BCF">
        <w:rPr>
          <w:rFonts w:ascii="Calibri" w:hAnsi="Calibri"/>
          <w:b w:val="0"/>
          <w:bCs/>
          <w:sz w:val="22"/>
          <w:szCs w:val="22"/>
        </w:rPr>
        <w:t>.000</w:t>
      </w:r>
      <w:r w:rsidR="00BC06F1"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003406" w:rsidRPr="00D64BCF">
        <w:rPr>
          <w:rFonts w:ascii="Calibri" w:hAnsi="Calibri"/>
          <w:b w:val="0"/>
          <w:bCs/>
          <w:sz w:val="22"/>
          <w:szCs w:val="22"/>
        </w:rPr>
        <w:t>€</w:t>
      </w:r>
      <w:r w:rsidR="00750979">
        <w:rPr>
          <w:rFonts w:ascii="Calibri" w:hAnsi="Calibri"/>
          <w:b w:val="0"/>
          <w:bCs/>
          <w:sz w:val="22"/>
          <w:szCs w:val="22"/>
        </w:rPr>
        <w:t xml:space="preserve">, y </w:t>
      </w:r>
      <w:r w:rsidR="00750979" w:rsidRPr="00D64BCF">
        <w:rPr>
          <w:rFonts w:ascii="Calibri" w:hAnsi="Calibri"/>
          <w:b w:val="0"/>
          <w:bCs/>
          <w:sz w:val="22"/>
          <w:szCs w:val="22"/>
        </w:rPr>
        <w:t xml:space="preserve">dado que el porcentaje de ejecución en el ejercicio corriente es del </w:t>
      </w:r>
      <w:r w:rsidR="00F543BB">
        <w:rPr>
          <w:rFonts w:ascii="Calibri" w:hAnsi="Calibri"/>
          <w:b w:val="0"/>
          <w:bCs/>
          <w:sz w:val="22"/>
          <w:szCs w:val="22"/>
        </w:rPr>
        <w:t>73</w:t>
      </w:r>
      <w:r w:rsidR="00750979">
        <w:rPr>
          <w:rFonts w:ascii="Calibri" w:hAnsi="Calibri"/>
          <w:b w:val="0"/>
          <w:bCs/>
          <w:sz w:val="22"/>
          <w:szCs w:val="22"/>
        </w:rPr>
        <w:t>%, p</w:t>
      </w:r>
      <w:r w:rsidR="008314CC" w:rsidRPr="00D64BCF">
        <w:rPr>
          <w:rFonts w:ascii="Calibri" w:hAnsi="Calibri"/>
          <w:b w:val="0"/>
          <w:bCs/>
          <w:sz w:val="22"/>
          <w:szCs w:val="22"/>
        </w:rPr>
        <w:t xml:space="preserve">ara el </w:t>
      </w:r>
      <w:r w:rsidR="00750979">
        <w:rPr>
          <w:rFonts w:ascii="Calibri" w:hAnsi="Calibri"/>
          <w:b w:val="0"/>
          <w:bCs/>
          <w:sz w:val="22"/>
          <w:szCs w:val="22"/>
        </w:rPr>
        <w:t>próximo ejercicio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8314CC" w:rsidRPr="00D64BCF">
        <w:rPr>
          <w:rFonts w:ascii="Calibri" w:hAnsi="Calibri"/>
          <w:b w:val="0"/>
          <w:bCs/>
          <w:sz w:val="22"/>
          <w:szCs w:val="22"/>
        </w:rPr>
        <w:t xml:space="preserve">se </w:t>
      </w:r>
      <w:r w:rsidR="00EA7560">
        <w:rPr>
          <w:rFonts w:ascii="Calibri" w:hAnsi="Calibri"/>
          <w:b w:val="0"/>
          <w:bCs/>
          <w:sz w:val="22"/>
          <w:szCs w:val="22"/>
        </w:rPr>
        <w:t>mantienen</w:t>
      </w:r>
      <w:r w:rsidR="00141308">
        <w:rPr>
          <w:rFonts w:ascii="Calibri" w:hAnsi="Calibri"/>
          <w:b w:val="0"/>
          <w:bCs/>
          <w:sz w:val="22"/>
          <w:szCs w:val="22"/>
        </w:rPr>
        <w:t xml:space="preserve"> </w:t>
      </w:r>
      <w:r w:rsidR="00C12FDD" w:rsidRPr="00D64BCF">
        <w:rPr>
          <w:rFonts w:ascii="Calibri" w:hAnsi="Calibri"/>
          <w:b w:val="0"/>
          <w:bCs/>
          <w:sz w:val="22"/>
          <w:szCs w:val="22"/>
        </w:rPr>
        <w:t xml:space="preserve">las </w:t>
      </w:r>
      <w:r w:rsidR="00EA7560">
        <w:rPr>
          <w:rFonts w:ascii="Calibri" w:hAnsi="Calibri"/>
          <w:b w:val="0"/>
          <w:bCs/>
          <w:sz w:val="22"/>
          <w:szCs w:val="22"/>
        </w:rPr>
        <w:t>previsiones.</w:t>
      </w:r>
    </w:p>
    <w:p w:rsidR="00C12FDD" w:rsidRPr="00D64BCF" w:rsidRDefault="00C12FDD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FC0566" w:rsidRPr="00D64BCF" w:rsidRDefault="00B40788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 w:rsidRPr="008C3BD6">
        <w:rPr>
          <w:rFonts w:ascii="Calibri" w:hAnsi="Calibri"/>
          <w:bCs/>
          <w:sz w:val="22"/>
          <w:szCs w:val="22"/>
        </w:rPr>
        <w:t>-</w:t>
      </w:r>
      <w:r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1A3F31" w:rsidRPr="001A3F31">
        <w:rPr>
          <w:rFonts w:ascii="Calibri" w:hAnsi="Calibri"/>
          <w:bCs/>
          <w:i/>
          <w:sz w:val="22"/>
          <w:szCs w:val="22"/>
        </w:rPr>
        <w:t>389</w:t>
      </w:r>
      <w:r w:rsidR="00DC5558">
        <w:rPr>
          <w:rFonts w:ascii="Calibri" w:hAnsi="Calibri"/>
          <w:bCs/>
          <w:i/>
          <w:sz w:val="22"/>
          <w:szCs w:val="22"/>
        </w:rPr>
        <w:t>.00</w:t>
      </w:r>
      <w:r w:rsidR="001A3F31" w:rsidRPr="001A3F31">
        <w:rPr>
          <w:rFonts w:ascii="Calibri" w:hAnsi="Calibri"/>
          <w:bCs/>
          <w:i/>
          <w:sz w:val="22"/>
          <w:szCs w:val="22"/>
        </w:rPr>
        <w:t xml:space="preserve"> </w:t>
      </w:r>
      <w:r w:rsidR="00FC0566" w:rsidRPr="001A3F31">
        <w:rPr>
          <w:rFonts w:ascii="Calibri" w:hAnsi="Calibri"/>
          <w:i/>
          <w:sz w:val="22"/>
          <w:szCs w:val="22"/>
        </w:rPr>
        <w:t xml:space="preserve">Reintegros de </w:t>
      </w:r>
      <w:r w:rsidRPr="001A3F31">
        <w:rPr>
          <w:rFonts w:ascii="Calibri" w:hAnsi="Calibri"/>
          <w:i/>
          <w:sz w:val="22"/>
          <w:szCs w:val="22"/>
        </w:rPr>
        <w:t>operaciones corrientes</w:t>
      </w:r>
      <w:r w:rsidR="00750979" w:rsidRPr="001A3F31">
        <w:rPr>
          <w:rFonts w:ascii="Calibri" w:hAnsi="Calibri"/>
          <w:i/>
          <w:sz w:val="22"/>
          <w:szCs w:val="22"/>
        </w:rPr>
        <w:t>: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 El importe de est</w:t>
      </w:r>
      <w:r w:rsidRPr="00D64BCF">
        <w:rPr>
          <w:rFonts w:ascii="Calibri" w:hAnsi="Calibri"/>
          <w:b w:val="0"/>
          <w:bCs/>
          <w:sz w:val="22"/>
          <w:szCs w:val="22"/>
        </w:rPr>
        <w:t>e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7B5007">
        <w:rPr>
          <w:rFonts w:ascii="Calibri" w:hAnsi="Calibri"/>
          <w:b w:val="0"/>
          <w:bCs/>
          <w:sz w:val="22"/>
          <w:szCs w:val="22"/>
        </w:rPr>
        <w:t>sub</w:t>
      </w:r>
      <w:r w:rsidRPr="00D64BCF">
        <w:rPr>
          <w:rFonts w:ascii="Calibri" w:hAnsi="Calibri"/>
          <w:b w:val="0"/>
          <w:bCs/>
          <w:sz w:val="22"/>
          <w:szCs w:val="22"/>
        </w:rPr>
        <w:t xml:space="preserve">concepto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corresponde a los </w:t>
      </w:r>
      <w:r w:rsidR="008E1CA0">
        <w:rPr>
          <w:rFonts w:ascii="Calibri" w:hAnsi="Calibri"/>
          <w:b w:val="0"/>
          <w:bCs/>
          <w:sz w:val="22"/>
          <w:szCs w:val="22"/>
        </w:rPr>
        <w:t xml:space="preserve">ingresos realizados en la </w:t>
      </w:r>
      <w:r w:rsidR="00A440D6">
        <w:rPr>
          <w:rFonts w:ascii="Calibri" w:hAnsi="Calibri"/>
          <w:b w:val="0"/>
          <w:bCs/>
          <w:sz w:val="22"/>
          <w:szCs w:val="22"/>
        </w:rPr>
        <w:t>T</w:t>
      </w:r>
      <w:r w:rsidR="008E1CA0">
        <w:rPr>
          <w:rFonts w:ascii="Calibri" w:hAnsi="Calibri"/>
          <w:b w:val="0"/>
          <w:bCs/>
          <w:sz w:val="22"/>
          <w:szCs w:val="22"/>
        </w:rPr>
        <w:t xml:space="preserve">esorería del OAMC, originados por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reintegros de </w:t>
      </w:r>
      <w:r w:rsidR="008E1CA0">
        <w:rPr>
          <w:rFonts w:ascii="Calibri" w:hAnsi="Calibri"/>
          <w:b w:val="0"/>
          <w:bCs/>
          <w:sz w:val="22"/>
          <w:szCs w:val="22"/>
        </w:rPr>
        <w:t>ej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>ercicio</w:t>
      </w:r>
      <w:r w:rsidR="008E1CA0">
        <w:rPr>
          <w:rFonts w:ascii="Calibri" w:hAnsi="Calibri"/>
          <w:b w:val="0"/>
          <w:bCs/>
          <w:sz w:val="22"/>
          <w:szCs w:val="22"/>
        </w:rPr>
        <w:t>s cerrados</w:t>
      </w:r>
      <w:r w:rsidRPr="00D64BCF">
        <w:rPr>
          <w:rFonts w:ascii="Calibri" w:hAnsi="Calibri"/>
          <w:b w:val="0"/>
          <w:bCs/>
          <w:sz w:val="22"/>
          <w:szCs w:val="22"/>
        </w:rPr>
        <w:t xml:space="preserve">. </w:t>
      </w:r>
      <w:r w:rsidR="00436B7E">
        <w:rPr>
          <w:rFonts w:ascii="Calibri" w:hAnsi="Calibri"/>
          <w:b w:val="0"/>
          <w:bCs/>
          <w:sz w:val="22"/>
          <w:szCs w:val="22"/>
        </w:rPr>
        <w:t xml:space="preserve">Al no tener previsión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>para el próximo ejercicio presupu</w:t>
      </w:r>
      <w:r w:rsidR="003A2CD7" w:rsidRPr="00D64BCF">
        <w:rPr>
          <w:rFonts w:ascii="Calibri" w:hAnsi="Calibri"/>
          <w:b w:val="0"/>
          <w:bCs/>
          <w:sz w:val="22"/>
          <w:szCs w:val="22"/>
        </w:rPr>
        <w:t>estario</w:t>
      </w:r>
      <w:r w:rsidR="00436B7E">
        <w:rPr>
          <w:rFonts w:ascii="Calibri" w:hAnsi="Calibri"/>
          <w:b w:val="0"/>
          <w:bCs/>
          <w:sz w:val="22"/>
          <w:szCs w:val="22"/>
        </w:rPr>
        <w:t xml:space="preserve">, las estimaciones </w:t>
      </w:r>
      <w:r w:rsidR="003A2CD7" w:rsidRPr="00D64BCF">
        <w:rPr>
          <w:rFonts w:ascii="Calibri" w:hAnsi="Calibri"/>
          <w:b w:val="0"/>
          <w:bCs/>
          <w:sz w:val="22"/>
          <w:szCs w:val="22"/>
        </w:rPr>
        <w:t xml:space="preserve">se </w:t>
      </w:r>
      <w:r w:rsidR="000419AE" w:rsidRPr="00D64BCF">
        <w:rPr>
          <w:rFonts w:ascii="Calibri" w:hAnsi="Calibri"/>
          <w:b w:val="0"/>
          <w:bCs/>
          <w:sz w:val="22"/>
          <w:szCs w:val="22"/>
        </w:rPr>
        <w:t>fija</w:t>
      </w:r>
      <w:r w:rsidR="00436B7E">
        <w:rPr>
          <w:rFonts w:ascii="Calibri" w:hAnsi="Calibri"/>
          <w:b w:val="0"/>
          <w:bCs/>
          <w:sz w:val="22"/>
          <w:szCs w:val="22"/>
        </w:rPr>
        <w:t>n</w:t>
      </w:r>
      <w:r w:rsidR="003A2CD7"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0419AE" w:rsidRPr="00D64BCF">
        <w:rPr>
          <w:rFonts w:ascii="Calibri" w:hAnsi="Calibri"/>
          <w:b w:val="0"/>
          <w:bCs/>
          <w:sz w:val="22"/>
          <w:szCs w:val="22"/>
        </w:rPr>
        <w:t xml:space="preserve">en 10 </w:t>
      </w:r>
      <w:r w:rsidR="00436B7E">
        <w:rPr>
          <w:rFonts w:ascii="Calibri" w:hAnsi="Calibri"/>
          <w:b w:val="0"/>
          <w:bCs/>
          <w:sz w:val="22"/>
          <w:szCs w:val="22"/>
        </w:rPr>
        <w:t>€.</w:t>
      </w:r>
    </w:p>
    <w:p w:rsidR="00FC0566" w:rsidRPr="00D64BCF" w:rsidRDefault="00FC0566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DC5558" w:rsidRDefault="00B40788" w:rsidP="00DC5558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 w:rsidRPr="00D64BCF">
        <w:rPr>
          <w:rFonts w:ascii="Calibri" w:hAnsi="Calibri"/>
          <w:i/>
          <w:iCs/>
          <w:sz w:val="22"/>
          <w:szCs w:val="22"/>
        </w:rPr>
        <w:t>-</w:t>
      </w:r>
      <w:r w:rsidR="00FC0566" w:rsidRPr="00D64BCF">
        <w:rPr>
          <w:rFonts w:ascii="Calibri" w:hAnsi="Calibri"/>
          <w:i/>
          <w:iCs/>
          <w:sz w:val="22"/>
          <w:szCs w:val="22"/>
        </w:rPr>
        <w:t xml:space="preserve"> </w:t>
      </w:r>
      <w:r w:rsidR="001A3F31" w:rsidRPr="001A3F31">
        <w:rPr>
          <w:rFonts w:ascii="Calibri" w:hAnsi="Calibri"/>
          <w:i/>
          <w:iCs/>
          <w:sz w:val="22"/>
          <w:szCs w:val="22"/>
        </w:rPr>
        <w:t>399</w:t>
      </w:r>
      <w:r w:rsidR="00DC5558">
        <w:rPr>
          <w:rFonts w:ascii="Calibri" w:hAnsi="Calibri"/>
          <w:i/>
          <w:iCs/>
          <w:sz w:val="22"/>
          <w:szCs w:val="22"/>
        </w:rPr>
        <w:t>.00</w:t>
      </w:r>
      <w:r w:rsidR="001A3F31" w:rsidRPr="001A3F31">
        <w:rPr>
          <w:rFonts w:ascii="Calibri" w:hAnsi="Calibri"/>
          <w:i/>
          <w:iCs/>
          <w:sz w:val="22"/>
          <w:szCs w:val="22"/>
        </w:rPr>
        <w:t xml:space="preserve"> </w:t>
      </w:r>
      <w:r w:rsidR="00FC0566" w:rsidRPr="001A3F31">
        <w:rPr>
          <w:rFonts w:ascii="Calibri" w:hAnsi="Calibri"/>
          <w:i/>
          <w:sz w:val="22"/>
          <w:szCs w:val="22"/>
        </w:rPr>
        <w:t>Otros ingresos</w:t>
      </w:r>
      <w:r w:rsidRPr="001A3F31">
        <w:rPr>
          <w:rFonts w:ascii="Calibri" w:hAnsi="Calibri"/>
          <w:i/>
          <w:sz w:val="22"/>
          <w:szCs w:val="22"/>
        </w:rPr>
        <w:t xml:space="preserve"> diversos</w:t>
      </w:r>
      <w:r w:rsidR="008E1CA0" w:rsidRPr="001A3F31">
        <w:rPr>
          <w:rFonts w:ascii="Calibri" w:hAnsi="Calibri"/>
          <w:bCs/>
          <w:i/>
          <w:sz w:val="22"/>
          <w:szCs w:val="22"/>
        </w:rPr>
        <w:t>:</w:t>
      </w:r>
      <w:r w:rsidR="00C571E2"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C84BC9">
        <w:rPr>
          <w:rFonts w:ascii="Calibri" w:hAnsi="Calibri"/>
          <w:b w:val="0"/>
          <w:bCs/>
          <w:sz w:val="22"/>
          <w:szCs w:val="22"/>
        </w:rPr>
        <w:t xml:space="preserve">Las previsiones </w:t>
      </w:r>
      <w:r w:rsidR="00C571E2" w:rsidRPr="00D64BCF">
        <w:rPr>
          <w:rFonts w:ascii="Calibri" w:hAnsi="Calibri"/>
          <w:b w:val="0"/>
          <w:bCs/>
          <w:sz w:val="22"/>
          <w:szCs w:val="22"/>
        </w:rPr>
        <w:t xml:space="preserve">para el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>ejercicio</w:t>
      </w:r>
      <w:r w:rsidR="00C571E2" w:rsidRPr="00D64BCF">
        <w:rPr>
          <w:rFonts w:ascii="Calibri" w:hAnsi="Calibri"/>
          <w:b w:val="0"/>
          <w:bCs/>
          <w:sz w:val="22"/>
          <w:szCs w:val="22"/>
        </w:rPr>
        <w:t xml:space="preserve"> 20</w:t>
      </w:r>
      <w:r w:rsidR="000F12A5" w:rsidRPr="00D64BCF">
        <w:rPr>
          <w:rFonts w:ascii="Calibri" w:hAnsi="Calibri"/>
          <w:b w:val="0"/>
          <w:bCs/>
          <w:sz w:val="22"/>
          <w:szCs w:val="22"/>
        </w:rPr>
        <w:t>1</w:t>
      </w:r>
      <w:r w:rsidR="00B83973">
        <w:rPr>
          <w:rFonts w:ascii="Calibri" w:hAnsi="Calibri"/>
          <w:b w:val="0"/>
          <w:bCs/>
          <w:sz w:val="22"/>
          <w:szCs w:val="22"/>
        </w:rPr>
        <w:t>9</w:t>
      </w:r>
      <w:r w:rsidR="008314CC" w:rsidRPr="00D64BCF">
        <w:rPr>
          <w:rFonts w:ascii="Calibri" w:hAnsi="Calibri"/>
          <w:b w:val="0"/>
          <w:bCs/>
          <w:sz w:val="22"/>
          <w:szCs w:val="22"/>
        </w:rPr>
        <w:t xml:space="preserve"> se </w:t>
      </w:r>
      <w:r w:rsidR="008E1CA0">
        <w:rPr>
          <w:rFonts w:ascii="Calibri" w:hAnsi="Calibri"/>
          <w:b w:val="0"/>
          <w:bCs/>
          <w:sz w:val="22"/>
          <w:szCs w:val="22"/>
        </w:rPr>
        <w:t xml:space="preserve">mantiene en </w:t>
      </w:r>
      <w:r w:rsidR="000419AE" w:rsidRPr="00D64BCF">
        <w:rPr>
          <w:rFonts w:ascii="Calibri" w:hAnsi="Calibri"/>
          <w:b w:val="0"/>
          <w:bCs/>
          <w:sz w:val="22"/>
          <w:szCs w:val="22"/>
        </w:rPr>
        <w:t>2</w:t>
      </w:r>
      <w:r w:rsidR="008C3BD6">
        <w:rPr>
          <w:rFonts w:ascii="Calibri" w:hAnsi="Calibri"/>
          <w:b w:val="0"/>
          <w:bCs/>
          <w:sz w:val="22"/>
          <w:szCs w:val="22"/>
        </w:rPr>
        <w:t xml:space="preserve">.000 </w:t>
      </w:r>
      <w:r w:rsidR="00DC5558">
        <w:rPr>
          <w:rFonts w:ascii="Calibri" w:hAnsi="Calibri"/>
          <w:b w:val="0"/>
          <w:bCs/>
          <w:sz w:val="22"/>
          <w:szCs w:val="22"/>
        </w:rPr>
        <w:t>€, ya que</w:t>
      </w:r>
      <w:r w:rsidR="0036502F">
        <w:rPr>
          <w:rFonts w:ascii="Calibri" w:hAnsi="Calibri"/>
          <w:b w:val="0"/>
          <w:bCs/>
          <w:sz w:val="22"/>
          <w:szCs w:val="22"/>
        </w:rPr>
        <w:t xml:space="preserve">, se han reconocido derechos en este ejercicio por importe </w:t>
      </w:r>
      <w:r w:rsidR="00B83973">
        <w:rPr>
          <w:rFonts w:ascii="Calibri" w:hAnsi="Calibri"/>
          <w:b w:val="0"/>
          <w:bCs/>
          <w:sz w:val="22"/>
          <w:szCs w:val="22"/>
        </w:rPr>
        <w:t>1.619,52</w:t>
      </w:r>
      <w:r w:rsidR="0036502F">
        <w:rPr>
          <w:rFonts w:ascii="Calibri" w:hAnsi="Calibri"/>
          <w:b w:val="0"/>
          <w:bCs/>
          <w:sz w:val="22"/>
          <w:szCs w:val="22"/>
        </w:rPr>
        <w:t xml:space="preserve"> €</w:t>
      </w:r>
      <w:r w:rsidR="00117B9A">
        <w:rPr>
          <w:rFonts w:ascii="Calibri" w:hAnsi="Calibri"/>
          <w:b w:val="0"/>
          <w:bCs/>
          <w:sz w:val="22"/>
          <w:szCs w:val="22"/>
        </w:rPr>
        <w:t xml:space="preserve">, </w:t>
      </w:r>
      <w:r w:rsidR="00B83973">
        <w:rPr>
          <w:rFonts w:ascii="Calibri" w:hAnsi="Calibri"/>
          <w:b w:val="0"/>
          <w:bCs/>
          <w:sz w:val="22"/>
          <w:szCs w:val="22"/>
        </w:rPr>
        <w:t xml:space="preserve">siendo </w:t>
      </w:r>
      <w:r w:rsidR="00DC5558" w:rsidRPr="00117B9A">
        <w:rPr>
          <w:rFonts w:ascii="Calibri" w:hAnsi="Calibri"/>
          <w:b w:val="0"/>
          <w:bCs/>
          <w:sz w:val="22"/>
          <w:szCs w:val="22"/>
        </w:rPr>
        <w:t>los</w:t>
      </w:r>
      <w:r w:rsidR="003300EF" w:rsidRPr="00117B9A">
        <w:rPr>
          <w:rFonts w:ascii="Calibri" w:hAnsi="Calibri"/>
          <w:b w:val="0"/>
          <w:bCs/>
          <w:sz w:val="22"/>
          <w:szCs w:val="22"/>
        </w:rPr>
        <w:t xml:space="preserve"> ingresos </w:t>
      </w:r>
      <w:r w:rsidR="00117B9A">
        <w:rPr>
          <w:rFonts w:ascii="Calibri" w:hAnsi="Calibri"/>
          <w:b w:val="0"/>
          <w:bCs/>
          <w:sz w:val="22"/>
          <w:szCs w:val="22"/>
        </w:rPr>
        <w:t xml:space="preserve">de </w:t>
      </w:r>
      <w:r w:rsidR="003300EF" w:rsidRPr="00117B9A">
        <w:rPr>
          <w:rFonts w:ascii="Calibri" w:hAnsi="Calibri"/>
          <w:b w:val="0"/>
          <w:bCs/>
          <w:sz w:val="22"/>
          <w:szCs w:val="22"/>
        </w:rPr>
        <w:t xml:space="preserve">este </w:t>
      </w:r>
      <w:r w:rsidR="0036502F" w:rsidRPr="00117B9A">
        <w:rPr>
          <w:rFonts w:ascii="Calibri" w:hAnsi="Calibri"/>
          <w:b w:val="0"/>
          <w:bCs/>
          <w:sz w:val="22"/>
          <w:szCs w:val="22"/>
        </w:rPr>
        <w:t>sub</w:t>
      </w:r>
      <w:r w:rsidR="003300EF" w:rsidRPr="00117B9A">
        <w:rPr>
          <w:rFonts w:ascii="Calibri" w:hAnsi="Calibri"/>
          <w:b w:val="0"/>
          <w:bCs/>
          <w:sz w:val="22"/>
          <w:szCs w:val="22"/>
        </w:rPr>
        <w:t>concept</w:t>
      </w:r>
      <w:r w:rsidR="00117B9A" w:rsidRPr="00117B9A">
        <w:rPr>
          <w:rFonts w:ascii="Calibri" w:hAnsi="Calibri"/>
          <w:b w:val="0"/>
          <w:bCs/>
          <w:sz w:val="22"/>
          <w:szCs w:val="22"/>
        </w:rPr>
        <w:t xml:space="preserve">o </w:t>
      </w:r>
      <w:r w:rsidR="00B83973">
        <w:rPr>
          <w:rFonts w:ascii="Calibri" w:hAnsi="Calibri"/>
          <w:b w:val="0"/>
          <w:bCs/>
          <w:sz w:val="22"/>
          <w:szCs w:val="22"/>
        </w:rPr>
        <w:t>d</w:t>
      </w:r>
      <w:r w:rsidR="00117B9A">
        <w:rPr>
          <w:rFonts w:ascii="Calibri" w:hAnsi="Calibri"/>
          <w:b w:val="0"/>
          <w:bCs/>
          <w:sz w:val="22"/>
          <w:szCs w:val="22"/>
        </w:rPr>
        <w:t>e naturaleza imprevista.</w:t>
      </w:r>
    </w:p>
    <w:p w:rsidR="00117B9A" w:rsidRDefault="00117B9A" w:rsidP="00DC5558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D14CA8" w:rsidRDefault="00DC5558" w:rsidP="00D14CA8">
      <w:pPr>
        <w:pStyle w:val="Sangradetextonormal"/>
        <w:rPr>
          <w:rFonts w:ascii="Calibri" w:hAnsi="Calibri"/>
          <w:b w:val="0"/>
          <w:iCs/>
          <w:sz w:val="22"/>
          <w:szCs w:val="22"/>
        </w:rPr>
      </w:pPr>
      <w:r w:rsidRPr="00DC5558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 w:val="0"/>
          <w:bCs/>
          <w:sz w:val="22"/>
          <w:szCs w:val="22"/>
        </w:rPr>
        <w:t xml:space="preserve"> </w:t>
      </w:r>
      <w:r w:rsidR="006D544E" w:rsidRPr="006D544E">
        <w:rPr>
          <w:rFonts w:ascii="Calibri" w:hAnsi="Calibri"/>
          <w:bCs/>
          <w:i/>
          <w:sz w:val="22"/>
          <w:szCs w:val="22"/>
        </w:rPr>
        <w:t>3</w:t>
      </w:r>
      <w:r w:rsidRPr="006D544E">
        <w:rPr>
          <w:rFonts w:ascii="Calibri" w:hAnsi="Calibri"/>
          <w:i/>
          <w:iCs/>
          <w:sz w:val="22"/>
          <w:szCs w:val="22"/>
        </w:rPr>
        <w:t>99.03</w:t>
      </w:r>
      <w:r w:rsidRPr="00DC5558">
        <w:rPr>
          <w:rFonts w:ascii="Calibri" w:hAnsi="Calibri"/>
          <w:i/>
          <w:iCs/>
          <w:sz w:val="22"/>
          <w:szCs w:val="22"/>
        </w:rPr>
        <w:t xml:space="preserve"> Ingresos publicaciones en Diarios Oficiales</w:t>
      </w:r>
      <w:r>
        <w:rPr>
          <w:rFonts w:ascii="Calibri" w:hAnsi="Calibri"/>
          <w:i/>
          <w:iCs/>
          <w:sz w:val="22"/>
          <w:szCs w:val="22"/>
        </w:rPr>
        <w:t>:</w:t>
      </w:r>
      <w:r w:rsidR="003300EF">
        <w:rPr>
          <w:rFonts w:ascii="Calibri" w:hAnsi="Calibri"/>
          <w:b w:val="0"/>
          <w:iCs/>
          <w:sz w:val="22"/>
          <w:szCs w:val="22"/>
        </w:rPr>
        <w:t xml:space="preserve"> </w:t>
      </w:r>
      <w:r w:rsidR="00660F24">
        <w:rPr>
          <w:rFonts w:ascii="Calibri" w:hAnsi="Calibri"/>
          <w:b w:val="0"/>
          <w:iCs/>
          <w:sz w:val="22"/>
          <w:szCs w:val="22"/>
        </w:rPr>
        <w:t>Este subconcepto tiene su contrapartida en la aplicación presupu</w:t>
      </w:r>
      <w:r w:rsidR="00D14CA8">
        <w:rPr>
          <w:rFonts w:ascii="Calibri" w:hAnsi="Calibri"/>
          <w:b w:val="0"/>
          <w:iCs/>
          <w:sz w:val="22"/>
          <w:szCs w:val="22"/>
        </w:rPr>
        <w:t xml:space="preserve">estaria 333.00 226.03 </w:t>
      </w:r>
      <w:r w:rsidR="005B377F">
        <w:rPr>
          <w:rFonts w:ascii="Calibri" w:hAnsi="Calibri"/>
          <w:b w:val="0"/>
          <w:iCs/>
          <w:sz w:val="22"/>
          <w:szCs w:val="22"/>
        </w:rPr>
        <w:t>“</w:t>
      </w:r>
      <w:r w:rsidR="00D14CA8" w:rsidRPr="005B377F">
        <w:rPr>
          <w:rFonts w:ascii="Calibri" w:hAnsi="Calibri"/>
          <w:b w:val="0"/>
          <w:i/>
          <w:iCs/>
          <w:sz w:val="22"/>
          <w:szCs w:val="22"/>
        </w:rPr>
        <w:t>Publicidad en Diarios Oficiales</w:t>
      </w:r>
      <w:r w:rsidR="005B377F">
        <w:rPr>
          <w:rFonts w:ascii="Calibri" w:hAnsi="Calibri"/>
          <w:b w:val="0"/>
          <w:iCs/>
          <w:sz w:val="22"/>
          <w:szCs w:val="22"/>
        </w:rPr>
        <w:t>”</w:t>
      </w:r>
      <w:r w:rsidR="00D14CA8">
        <w:rPr>
          <w:rFonts w:ascii="Calibri" w:hAnsi="Calibri"/>
          <w:b w:val="0"/>
          <w:iCs/>
          <w:sz w:val="22"/>
          <w:szCs w:val="22"/>
        </w:rPr>
        <w:t xml:space="preserve"> del presupuesto de gastos</w:t>
      </w:r>
      <w:r w:rsidR="00436B7E">
        <w:rPr>
          <w:rFonts w:ascii="Calibri" w:hAnsi="Calibri"/>
          <w:b w:val="0"/>
          <w:iCs/>
          <w:sz w:val="22"/>
          <w:szCs w:val="22"/>
        </w:rPr>
        <w:t>. A</w:t>
      </w:r>
      <w:r w:rsidR="00D14CA8">
        <w:rPr>
          <w:rFonts w:ascii="Calibri" w:hAnsi="Calibri"/>
          <w:b w:val="0"/>
          <w:iCs/>
          <w:sz w:val="22"/>
          <w:szCs w:val="22"/>
        </w:rPr>
        <w:t>mb</w:t>
      </w:r>
      <w:r w:rsidR="005B377F">
        <w:rPr>
          <w:rFonts w:ascii="Calibri" w:hAnsi="Calibri"/>
          <w:b w:val="0"/>
          <w:iCs/>
          <w:sz w:val="22"/>
          <w:szCs w:val="22"/>
        </w:rPr>
        <w:t>o</w:t>
      </w:r>
      <w:r w:rsidR="00D14CA8">
        <w:rPr>
          <w:rFonts w:ascii="Calibri" w:hAnsi="Calibri"/>
          <w:b w:val="0"/>
          <w:iCs/>
          <w:sz w:val="22"/>
          <w:szCs w:val="22"/>
        </w:rPr>
        <w:t xml:space="preserve">s </w:t>
      </w:r>
      <w:r w:rsidR="00B83973">
        <w:rPr>
          <w:rFonts w:ascii="Calibri" w:hAnsi="Calibri"/>
          <w:b w:val="0"/>
          <w:iCs/>
          <w:sz w:val="22"/>
          <w:szCs w:val="22"/>
        </w:rPr>
        <w:t xml:space="preserve">tienen la finalidad de </w:t>
      </w:r>
      <w:r w:rsidR="005B377F">
        <w:rPr>
          <w:rFonts w:ascii="Calibri" w:hAnsi="Calibri"/>
          <w:b w:val="0"/>
          <w:iCs/>
          <w:sz w:val="22"/>
          <w:szCs w:val="22"/>
        </w:rPr>
        <w:t xml:space="preserve">contabilizar adecuadamente los gastos de publicación de licitaciones de contrataciones en Boletines Oficiales, y su posterior repercusión a los adjudicatarios del las mismas. </w:t>
      </w:r>
    </w:p>
    <w:p w:rsidR="00BB7D69" w:rsidRDefault="00BB7D69" w:rsidP="00D14CA8">
      <w:pPr>
        <w:pStyle w:val="Sangradetextonormal"/>
        <w:rPr>
          <w:rFonts w:ascii="Calibri" w:hAnsi="Calibri"/>
          <w:b w:val="0"/>
          <w:iCs/>
          <w:sz w:val="22"/>
          <w:szCs w:val="22"/>
        </w:rPr>
      </w:pPr>
    </w:p>
    <w:p w:rsidR="00F55F71" w:rsidRDefault="00F55F71" w:rsidP="00D14CA8">
      <w:pPr>
        <w:pStyle w:val="Sangradetextonormal"/>
        <w:rPr>
          <w:rFonts w:ascii="Calibri" w:hAnsi="Calibri"/>
          <w:b w:val="0"/>
          <w:iCs/>
          <w:sz w:val="22"/>
          <w:szCs w:val="22"/>
        </w:rPr>
      </w:pPr>
    </w:p>
    <w:p w:rsidR="00810471" w:rsidRDefault="00810471" w:rsidP="00D14CA8">
      <w:pPr>
        <w:pStyle w:val="Sangradetextonormal"/>
        <w:rPr>
          <w:rFonts w:ascii="Calibri" w:hAnsi="Calibri"/>
          <w:b w:val="0"/>
          <w:iCs/>
          <w:sz w:val="22"/>
          <w:szCs w:val="22"/>
        </w:rPr>
      </w:pPr>
    </w:p>
    <w:p w:rsidR="00810471" w:rsidRDefault="00810471" w:rsidP="00D14CA8">
      <w:pPr>
        <w:pStyle w:val="Sangradetextonormal"/>
        <w:rPr>
          <w:rFonts w:ascii="Calibri" w:hAnsi="Calibri"/>
          <w:b w:val="0"/>
          <w:iCs/>
          <w:sz w:val="22"/>
          <w:szCs w:val="22"/>
        </w:rPr>
      </w:pPr>
    </w:p>
    <w:p w:rsidR="00810471" w:rsidRDefault="00810471" w:rsidP="00D14CA8">
      <w:pPr>
        <w:pStyle w:val="Sangradetextonormal"/>
        <w:rPr>
          <w:rFonts w:ascii="Calibri" w:hAnsi="Calibri"/>
          <w:b w:val="0"/>
          <w:iCs/>
          <w:sz w:val="22"/>
          <w:szCs w:val="22"/>
        </w:rPr>
      </w:pPr>
    </w:p>
    <w:p w:rsidR="00FC0566" w:rsidRPr="007970A3" w:rsidRDefault="00847AC2" w:rsidP="00E46834">
      <w:pPr>
        <w:pStyle w:val="Sangradetextonormal"/>
        <w:rPr>
          <w:rFonts w:ascii="Calibri" w:hAnsi="Calibri"/>
          <w:sz w:val="20"/>
          <w:szCs w:val="20"/>
          <w:u w:val="single"/>
        </w:rPr>
      </w:pPr>
      <w:r w:rsidRPr="007970A3">
        <w:rPr>
          <w:rFonts w:ascii="Calibri" w:hAnsi="Calibri"/>
          <w:bCs/>
          <w:sz w:val="20"/>
          <w:szCs w:val="20"/>
          <w:u w:val="single"/>
        </w:rPr>
        <w:t xml:space="preserve">CAPÍTULO </w:t>
      </w:r>
      <w:r w:rsidR="00C12FDD" w:rsidRPr="007970A3">
        <w:rPr>
          <w:rFonts w:ascii="Calibri" w:hAnsi="Calibri"/>
          <w:bCs/>
          <w:sz w:val="20"/>
          <w:szCs w:val="20"/>
          <w:u w:val="single"/>
        </w:rPr>
        <w:t>4</w:t>
      </w:r>
      <w:r w:rsidRPr="007970A3">
        <w:rPr>
          <w:rFonts w:ascii="Calibri" w:hAnsi="Calibri"/>
          <w:bCs/>
          <w:sz w:val="20"/>
          <w:szCs w:val="20"/>
          <w:u w:val="single"/>
        </w:rPr>
        <w:t xml:space="preserve">: </w:t>
      </w:r>
      <w:r w:rsidR="00D364E4" w:rsidRPr="007970A3">
        <w:rPr>
          <w:rFonts w:ascii="Calibri" w:hAnsi="Calibri"/>
          <w:bCs/>
          <w:sz w:val="20"/>
          <w:szCs w:val="20"/>
          <w:u w:val="single"/>
        </w:rPr>
        <w:t>TRANSFERENCIAS CORRIENTES</w:t>
      </w:r>
    </w:p>
    <w:p w:rsidR="00847AC2" w:rsidRPr="007970A3" w:rsidRDefault="00847AC2" w:rsidP="00E46834">
      <w:pPr>
        <w:pStyle w:val="Sangradetextonormal"/>
        <w:rPr>
          <w:rFonts w:ascii="Calibri" w:hAnsi="Calibri"/>
          <w:sz w:val="20"/>
          <w:szCs w:val="20"/>
        </w:rPr>
      </w:pPr>
    </w:p>
    <w:p w:rsidR="00543B3E" w:rsidRDefault="00FC0566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 w:rsidRPr="00C20A16">
        <w:rPr>
          <w:rFonts w:ascii="Calibri" w:hAnsi="Calibri"/>
          <w:b w:val="0"/>
          <w:bCs/>
          <w:sz w:val="22"/>
          <w:szCs w:val="22"/>
        </w:rPr>
        <w:t xml:space="preserve">El concepto más </w:t>
      </w:r>
      <w:r w:rsidR="00A440D6" w:rsidRPr="00C20A16">
        <w:rPr>
          <w:rFonts w:ascii="Calibri" w:hAnsi="Calibri"/>
          <w:b w:val="0"/>
          <w:bCs/>
          <w:sz w:val="22"/>
          <w:szCs w:val="22"/>
        </w:rPr>
        <w:t xml:space="preserve">relevante de este capítulo </w:t>
      </w:r>
      <w:r w:rsidRPr="00C20A16">
        <w:rPr>
          <w:rFonts w:ascii="Calibri" w:hAnsi="Calibri"/>
          <w:b w:val="0"/>
          <w:bCs/>
          <w:sz w:val="22"/>
          <w:szCs w:val="22"/>
        </w:rPr>
        <w:t xml:space="preserve">es la aportación del </w:t>
      </w:r>
      <w:r w:rsidRPr="00DA6F9D">
        <w:rPr>
          <w:rFonts w:ascii="Calibri" w:hAnsi="Calibri"/>
          <w:b w:val="0"/>
          <w:bCs/>
          <w:sz w:val="22"/>
          <w:szCs w:val="22"/>
        </w:rPr>
        <w:t xml:space="preserve">Cabildo Insular, la cual asciende a </w:t>
      </w:r>
      <w:r w:rsidR="00B83973">
        <w:rPr>
          <w:rFonts w:ascii="Calibri" w:hAnsi="Calibri"/>
          <w:b w:val="0"/>
          <w:bCs/>
          <w:sz w:val="22"/>
          <w:szCs w:val="22"/>
        </w:rPr>
        <w:t>7.371.566,5</w:t>
      </w:r>
      <w:r w:rsidR="00F55F71">
        <w:rPr>
          <w:rFonts w:ascii="Calibri" w:hAnsi="Calibri"/>
          <w:b w:val="0"/>
          <w:bCs/>
          <w:sz w:val="22"/>
          <w:szCs w:val="22"/>
        </w:rPr>
        <w:t>3</w:t>
      </w:r>
      <w:r w:rsidR="00C13A5C" w:rsidRPr="00DA6F9D">
        <w:rPr>
          <w:rFonts w:ascii="Calibri" w:hAnsi="Calibri"/>
          <w:b w:val="0"/>
          <w:bCs/>
          <w:sz w:val="22"/>
          <w:szCs w:val="22"/>
        </w:rPr>
        <w:t xml:space="preserve"> </w:t>
      </w:r>
      <w:r w:rsidR="00763950" w:rsidRPr="00DA6F9D">
        <w:rPr>
          <w:rFonts w:ascii="Calibri" w:hAnsi="Calibri"/>
          <w:b w:val="0"/>
          <w:bCs/>
          <w:sz w:val="22"/>
          <w:szCs w:val="22"/>
        </w:rPr>
        <w:t>€</w:t>
      </w:r>
      <w:r w:rsidR="00C12FDD" w:rsidRPr="00DA6F9D">
        <w:rPr>
          <w:rFonts w:ascii="Calibri" w:hAnsi="Calibri"/>
          <w:b w:val="0"/>
          <w:bCs/>
          <w:sz w:val="22"/>
          <w:szCs w:val="22"/>
        </w:rPr>
        <w:t xml:space="preserve">, </w:t>
      </w:r>
      <w:r w:rsidR="00EA7560" w:rsidRPr="00DA6F9D">
        <w:rPr>
          <w:rFonts w:ascii="Calibri" w:hAnsi="Calibri"/>
          <w:b w:val="0"/>
          <w:bCs/>
          <w:sz w:val="22"/>
          <w:szCs w:val="22"/>
        </w:rPr>
        <w:t xml:space="preserve">distinguiendo entre aportación genérica de </w:t>
      </w:r>
      <w:r w:rsidR="00B83973">
        <w:rPr>
          <w:rFonts w:ascii="Calibri" w:hAnsi="Calibri"/>
          <w:b w:val="0"/>
          <w:bCs/>
          <w:sz w:val="22"/>
          <w:szCs w:val="22"/>
        </w:rPr>
        <w:t>7.024.294,0</w:t>
      </w:r>
      <w:r w:rsidR="00F55F71">
        <w:rPr>
          <w:rFonts w:ascii="Calibri" w:hAnsi="Calibri"/>
          <w:b w:val="0"/>
          <w:bCs/>
          <w:sz w:val="22"/>
          <w:szCs w:val="22"/>
        </w:rPr>
        <w:t>3</w:t>
      </w:r>
      <w:r w:rsidR="00DA6F9D" w:rsidRPr="00DA6F9D">
        <w:rPr>
          <w:rFonts w:ascii="Calibri" w:hAnsi="Calibri"/>
          <w:b w:val="0"/>
          <w:bCs/>
          <w:sz w:val="22"/>
          <w:szCs w:val="22"/>
        </w:rPr>
        <w:t xml:space="preserve"> </w:t>
      </w:r>
      <w:r w:rsidR="008A02DA" w:rsidRPr="00DA6F9D">
        <w:rPr>
          <w:rFonts w:ascii="Calibri" w:hAnsi="Calibri"/>
          <w:b w:val="0"/>
          <w:bCs/>
          <w:sz w:val="22"/>
          <w:szCs w:val="22"/>
        </w:rPr>
        <w:t>€</w:t>
      </w:r>
      <w:r w:rsidR="00E42C0E" w:rsidRPr="00DA6F9D">
        <w:rPr>
          <w:rFonts w:ascii="Calibri" w:hAnsi="Calibri"/>
          <w:b w:val="0"/>
          <w:bCs/>
          <w:sz w:val="22"/>
          <w:szCs w:val="22"/>
        </w:rPr>
        <w:t xml:space="preserve"> y </w:t>
      </w:r>
      <w:r w:rsidR="003361D6">
        <w:rPr>
          <w:rFonts w:ascii="Calibri" w:hAnsi="Calibri"/>
          <w:b w:val="0"/>
          <w:bCs/>
          <w:sz w:val="22"/>
          <w:szCs w:val="22"/>
        </w:rPr>
        <w:t xml:space="preserve">las siguientes </w:t>
      </w:r>
      <w:r w:rsidR="00E42C0E" w:rsidRPr="00DA6F9D">
        <w:rPr>
          <w:rFonts w:ascii="Calibri" w:hAnsi="Calibri"/>
          <w:b w:val="0"/>
          <w:bCs/>
          <w:sz w:val="22"/>
          <w:szCs w:val="22"/>
        </w:rPr>
        <w:t>aportaci</w:t>
      </w:r>
      <w:r w:rsidR="002835A8" w:rsidRPr="00DA6F9D">
        <w:rPr>
          <w:rFonts w:ascii="Calibri" w:hAnsi="Calibri"/>
          <w:b w:val="0"/>
          <w:bCs/>
          <w:sz w:val="22"/>
          <w:szCs w:val="22"/>
        </w:rPr>
        <w:t xml:space="preserve">ones </w:t>
      </w:r>
      <w:r w:rsidR="00E42C0E" w:rsidRPr="00DA6F9D">
        <w:rPr>
          <w:rFonts w:ascii="Calibri" w:hAnsi="Calibri"/>
          <w:b w:val="0"/>
          <w:bCs/>
          <w:sz w:val="22"/>
          <w:szCs w:val="22"/>
        </w:rPr>
        <w:t>específica</w:t>
      </w:r>
      <w:r w:rsidR="002835A8" w:rsidRPr="00DA6F9D">
        <w:rPr>
          <w:rFonts w:ascii="Calibri" w:hAnsi="Calibri"/>
          <w:b w:val="0"/>
          <w:bCs/>
          <w:sz w:val="22"/>
          <w:szCs w:val="22"/>
        </w:rPr>
        <w:t>s</w:t>
      </w:r>
      <w:r w:rsidR="00D94E5C">
        <w:rPr>
          <w:rFonts w:ascii="Calibri" w:hAnsi="Calibri"/>
          <w:b w:val="0"/>
          <w:bCs/>
          <w:sz w:val="22"/>
          <w:szCs w:val="22"/>
        </w:rPr>
        <w:t>, por importe de 347.282,50 €:</w:t>
      </w:r>
    </w:p>
    <w:p w:rsidR="00D94E5C" w:rsidRDefault="00D94E5C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tbl>
      <w:tblPr>
        <w:tblW w:w="6407" w:type="dxa"/>
        <w:tblInd w:w="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  <w:gridCol w:w="1276"/>
      </w:tblGrid>
      <w:tr w:rsidR="00D94E5C" w:rsidRPr="00D94E5C" w:rsidTr="00F737AD">
        <w:trPr>
          <w:trHeight w:val="28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Actividades y exposiciones en el OAMC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50.000,00 €</w:t>
            </w:r>
          </w:p>
        </w:tc>
      </w:tr>
      <w:tr w:rsidR="00D94E5C" w:rsidRPr="00D94E5C" w:rsidTr="00F737AD">
        <w:trPr>
          <w:trHeight w:val="288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Exposición Museo de Ciencias Naturales </w:t>
            </w:r>
            <w:r w:rsidR="00F737AD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“Valores del litoral canario”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90.000,00 €</w:t>
            </w:r>
          </w:p>
        </w:tc>
      </w:tr>
      <w:tr w:rsidR="00D94E5C" w:rsidRPr="00D94E5C" w:rsidTr="00F737AD">
        <w:trPr>
          <w:trHeight w:val="288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5C" w:rsidRPr="00D94E5C" w:rsidRDefault="00D94E5C" w:rsidP="00D94E5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Proyectos culturales de dinamización de Museos y Centros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140.000,00 €</w:t>
            </w:r>
          </w:p>
        </w:tc>
      </w:tr>
      <w:tr w:rsidR="00D94E5C" w:rsidRPr="00D94E5C" w:rsidTr="00F737AD">
        <w:trPr>
          <w:trHeight w:val="288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Cursos, encuentros y jornadas de divulgación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67.282,50 €</w:t>
            </w:r>
          </w:p>
        </w:tc>
      </w:tr>
      <w:tr w:rsidR="00D94E5C" w:rsidRPr="00D94E5C" w:rsidTr="00F737AD">
        <w:trPr>
          <w:trHeight w:val="288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/>
                <w:color w:val="000000"/>
                <w:sz w:val="18"/>
                <w:szCs w:val="18"/>
              </w:rPr>
              <w:t>347.282,50 €</w:t>
            </w:r>
          </w:p>
        </w:tc>
      </w:tr>
    </w:tbl>
    <w:p w:rsidR="00D94E5C" w:rsidRDefault="00D94E5C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033D35" w:rsidRPr="007970A3" w:rsidRDefault="00033D35" w:rsidP="00E46834">
      <w:pPr>
        <w:pStyle w:val="Sangradetextonormal"/>
        <w:rPr>
          <w:rFonts w:ascii="Calibri" w:hAnsi="Calibri"/>
          <w:bCs/>
          <w:sz w:val="20"/>
          <w:szCs w:val="20"/>
          <w:u w:val="single"/>
        </w:rPr>
      </w:pPr>
      <w:r w:rsidRPr="007970A3">
        <w:rPr>
          <w:rFonts w:ascii="Calibri" w:hAnsi="Calibri"/>
          <w:bCs/>
          <w:sz w:val="20"/>
          <w:szCs w:val="20"/>
          <w:u w:val="single"/>
        </w:rPr>
        <w:t xml:space="preserve">CAPÍTULO </w:t>
      </w:r>
      <w:r w:rsidR="00C12FDD" w:rsidRPr="007970A3">
        <w:rPr>
          <w:rFonts w:ascii="Calibri" w:hAnsi="Calibri"/>
          <w:bCs/>
          <w:sz w:val="20"/>
          <w:szCs w:val="20"/>
          <w:u w:val="single"/>
        </w:rPr>
        <w:t>5</w:t>
      </w:r>
      <w:r w:rsidRPr="007970A3">
        <w:rPr>
          <w:rFonts w:ascii="Calibri" w:hAnsi="Calibri"/>
          <w:bCs/>
          <w:sz w:val="20"/>
          <w:szCs w:val="20"/>
          <w:u w:val="single"/>
        </w:rPr>
        <w:t>: INGRESOS PATRIMONIALES</w:t>
      </w:r>
    </w:p>
    <w:p w:rsidR="00033D35" w:rsidRPr="007970A3" w:rsidRDefault="00033D35" w:rsidP="00E46834">
      <w:pPr>
        <w:pStyle w:val="Sangradetextonormal"/>
        <w:rPr>
          <w:rFonts w:ascii="Calibri" w:hAnsi="Calibri"/>
          <w:b w:val="0"/>
          <w:bCs/>
          <w:sz w:val="20"/>
          <w:szCs w:val="20"/>
        </w:rPr>
      </w:pPr>
    </w:p>
    <w:p w:rsidR="00EE3765" w:rsidRDefault="008A02DA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 xml:space="preserve">Teniendo en cuenta los </w:t>
      </w:r>
      <w:r w:rsidR="00E15B5B">
        <w:rPr>
          <w:rFonts w:ascii="Calibri" w:hAnsi="Calibri"/>
          <w:b w:val="0"/>
          <w:bCs/>
          <w:sz w:val="22"/>
          <w:szCs w:val="22"/>
        </w:rPr>
        <w:t xml:space="preserve">ingresos del </w:t>
      </w:r>
      <w:r>
        <w:rPr>
          <w:rFonts w:ascii="Calibri" w:hAnsi="Calibri"/>
          <w:b w:val="0"/>
          <w:bCs/>
          <w:sz w:val="22"/>
          <w:szCs w:val="22"/>
        </w:rPr>
        <w:t>ejercicio</w:t>
      </w:r>
      <w:r w:rsidR="00D94E5C">
        <w:rPr>
          <w:rFonts w:ascii="Calibri" w:hAnsi="Calibri"/>
          <w:b w:val="0"/>
          <w:bCs/>
          <w:sz w:val="22"/>
          <w:szCs w:val="22"/>
        </w:rPr>
        <w:t>,</w:t>
      </w:r>
      <w:r w:rsidR="003361D6">
        <w:rPr>
          <w:rFonts w:ascii="Calibri" w:hAnsi="Calibri"/>
          <w:b w:val="0"/>
          <w:bCs/>
          <w:sz w:val="22"/>
          <w:szCs w:val="22"/>
        </w:rPr>
        <w:t xml:space="preserve"> así como </w:t>
      </w:r>
      <w:r w:rsidR="00EE3765">
        <w:rPr>
          <w:rFonts w:ascii="Calibri" w:hAnsi="Calibri"/>
          <w:b w:val="0"/>
          <w:bCs/>
          <w:sz w:val="22"/>
          <w:szCs w:val="22"/>
        </w:rPr>
        <w:t xml:space="preserve">las bajas remuneraciones </w:t>
      </w:r>
      <w:r w:rsidR="00E15B5B">
        <w:rPr>
          <w:rFonts w:ascii="Calibri" w:hAnsi="Calibri"/>
          <w:b w:val="0"/>
          <w:bCs/>
          <w:sz w:val="22"/>
          <w:szCs w:val="22"/>
        </w:rPr>
        <w:t>ofrecidas por las entidades bancarias</w:t>
      </w:r>
      <w:r w:rsidR="003361D6">
        <w:rPr>
          <w:rFonts w:ascii="Calibri" w:hAnsi="Calibri"/>
          <w:b w:val="0"/>
          <w:bCs/>
          <w:sz w:val="22"/>
          <w:szCs w:val="22"/>
        </w:rPr>
        <w:t xml:space="preserve"> a los depósitos</w:t>
      </w:r>
      <w:r w:rsidR="00E15B5B">
        <w:rPr>
          <w:rFonts w:ascii="Calibri" w:hAnsi="Calibri"/>
          <w:b w:val="0"/>
          <w:bCs/>
          <w:sz w:val="22"/>
          <w:szCs w:val="22"/>
        </w:rPr>
        <w:t>,</w:t>
      </w:r>
      <w:r w:rsidR="00303872">
        <w:rPr>
          <w:rFonts w:ascii="Calibri" w:hAnsi="Calibri"/>
          <w:b w:val="0"/>
          <w:bCs/>
          <w:sz w:val="22"/>
          <w:szCs w:val="22"/>
        </w:rPr>
        <w:t xml:space="preserve"> </w:t>
      </w:r>
      <w:r w:rsidR="00F55F71">
        <w:rPr>
          <w:rFonts w:ascii="Calibri" w:hAnsi="Calibri"/>
          <w:b w:val="0"/>
          <w:bCs/>
          <w:sz w:val="22"/>
          <w:szCs w:val="22"/>
        </w:rPr>
        <w:t xml:space="preserve">y que, </w:t>
      </w:r>
      <w:r w:rsidR="00303872">
        <w:rPr>
          <w:rFonts w:ascii="Calibri" w:hAnsi="Calibri"/>
          <w:b w:val="0"/>
          <w:bCs/>
          <w:sz w:val="22"/>
          <w:szCs w:val="22"/>
        </w:rPr>
        <w:t>al día de la fecha</w:t>
      </w:r>
      <w:r w:rsidR="009F0C78">
        <w:rPr>
          <w:rFonts w:ascii="Calibri" w:hAnsi="Calibri"/>
          <w:b w:val="0"/>
          <w:bCs/>
          <w:sz w:val="22"/>
          <w:szCs w:val="22"/>
        </w:rPr>
        <w:t>,</w:t>
      </w:r>
      <w:r w:rsidR="00EE3765">
        <w:rPr>
          <w:rFonts w:ascii="Calibri" w:hAnsi="Calibri"/>
          <w:b w:val="0"/>
          <w:bCs/>
          <w:sz w:val="22"/>
          <w:szCs w:val="22"/>
        </w:rPr>
        <w:t xml:space="preserve"> únicamente se han reconocido derechos por</w:t>
      </w:r>
      <w:r w:rsidR="00E15B5B">
        <w:rPr>
          <w:rFonts w:ascii="Calibri" w:hAnsi="Calibri"/>
          <w:b w:val="0"/>
          <w:bCs/>
          <w:sz w:val="22"/>
          <w:szCs w:val="22"/>
        </w:rPr>
        <w:t xml:space="preserve"> un</w:t>
      </w:r>
      <w:r w:rsidR="00EE3765">
        <w:rPr>
          <w:rFonts w:ascii="Calibri" w:hAnsi="Calibri"/>
          <w:b w:val="0"/>
          <w:bCs/>
          <w:sz w:val="22"/>
          <w:szCs w:val="22"/>
        </w:rPr>
        <w:t xml:space="preserve"> </w:t>
      </w:r>
      <w:r w:rsidR="00D94E5C">
        <w:rPr>
          <w:rFonts w:ascii="Calibri" w:hAnsi="Calibri"/>
          <w:b w:val="0"/>
          <w:bCs/>
          <w:sz w:val="22"/>
          <w:szCs w:val="22"/>
        </w:rPr>
        <w:t>18</w:t>
      </w:r>
      <w:r w:rsidR="00EE3765">
        <w:rPr>
          <w:rFonts w:ascii="Calibri" w:hAnsi="Calibri"/>
          <w:b w:val="0"/>
          <w:bCs/>
          <w:sz w:val="22"/>
          <w:szCs w:val="22"/>
        </w:rPr>
        <w:t xml:space="preserve">% </w:t>
      </w:r>
      <w:r w:rsidR="00E15B5B">
        <w:rPr>
          <w:rFonts w:ascii="Calibri" w:hAnsi="Calibri"/>
          <w:b w:val="0"/>
          <w:bCs/>
          <w:sz w:val="22"/>
          <w:szCs w:val="22"/>
        </w:rPr>
        <w:t xml:space="preserve">sobre </w:t>
      </w:r>
      <w:r w:rsidR="00EE3765">
        <w:rPr>
          <w:rFonts w:ascii="Calibri" w:hAnsi="Calibri"/>
          <w:b w:val="0"/>
          <w:bCs/>
          <w:sz w:val="22"/>
          <w:szCs w:val="22"/>
        </w:rPr>
        <w:t>las previsiones iniciales</w:t>
      </w:r>
      <w:r w:rsidR="003361D6">
        <w:rPr>
          <w:rFonts w:ascii="Calibri" w:hAnsi="Calibri"/>
          <w:b w:val="0"/>
          <w:bCs/>
          <w:sz w:val="22"/>
          <w:szCs w:val="22"/>
        </w:rPr>
        <w:t>, se disminuyen las previsiones de ingresos en el subconcepto 520.00 “</w:t>
      </w:r>
      <w:r w:rsidR="003361D6" w:rsidRPr="00EE3765">
        <w:rPr>
          <w:rFonts w:ascii="Calibri" w:hAnsi="Calibri"/>
          <w:b w:val="0"/>
          <w:bCs/>
          <w:i/>
          <w:sz w:val="22"/>
          <w:szCs w:val="22"/>
        </w:rPr>
        <w:t>Intereses de depósitos</w:t>
      </w:r>
      <w:r w:rsidR="003361D6">
        <w:rPr>
          <w:rFonts w:ascii="Calibri" w:hAnsi="Calibri"/>
          <w:b w:val="0"/>
          <w:bCs/>
          <w:sz w:val="22"/>
          <w:szCs w:val="22"/>
        </w:rPr>
        <w:t>”</w:t>
      </w:r>
      <w:r w:rsidR="00D94E5C">
        <w:rPr>
          <w:rFonts w:ascii="Calibri" w:hAnsi="Calibri"/>
          <w:b w:val="0"/>
          <w:bCs/>
          <w:sz w:val="22"/>
          <w:szCs w:val="22"/>
        </w:rPr>
        <w:t>, fijándose en 500 €.</w:t>
      </w:r>
    </w:p>
    <w:p w:rsidR="003361D6" w:rsidRDefault="003361D6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86551C" w:rsidRPr="00D64BCF" w:rsidRDefault="00E15B5B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El s</w:t>
      </w:r>
      <w:r w:rsidR="00EE3765">
        <w:rPr>
          <w:rFonts w:ascii="Calibri" w:hAnsi="Calibri"/>
          <w:b w:val="0"/>
          <w:bCs/>
          <w:sz w:val="22"/>
          <w:szCs w:val="22"/>
        </w:rPr>
        <w:t>ub</w:t>
      </w:r>
      <w:r w:rsidR="002835A8">
        <w:rPr>
          <w:rFonts w:ascii="Calibri" w:hAnsi="Calibri"/>
          <w:b w:val="0"/>
          <w:bCs/>
          <w:sz w:val="22"/>
          <w:szCs w:val="22"/>
        </w:rPr>
        <w:t xml:space="preserve">concepto </w:t>
      </w:r>
      <w:r w:rsidR="00EE3765">
        <w:rPr>
          <w:rFonts w:ascii="Calibri" w:hAnsi="Calibri"/>
          <w:b w:val="0"/>
          <w:bCs/>
          <w:sz w:val="22"/>
          <w:szCs w:val="22"/>
        </w:rPr>
        <w:t>550.00 “</w:t>
      </w:r>
      <w:r w:rsidR="00EE3765" w:rsidRPr="00EE3765">
        <w:rPr>
          <w:rFonts w:ascii="Calibri" w:hAnsi="Calibri"/>
          <w:b w:val="0"/>
          <w:bCs/>
          <w:i/>
          <w:sz w:val="22"/>
          <w:szCs w:val="22"/>
        </w:rPr>
        <w:t>D</w:t>
      </w:r>
      <w:r w:rsidR="002835A8" w:rsidRPr="00EE3765">
        <w:rPr>
          <w:rFonts w:ascii="Calibri" w:hAnsi="Calibri"/>
          <w:b w:val="0"/>
          <w:bCs/>
          <w:i/>
          <w:sz w:val="22"/>
          <w:szCs w:val="22"/>
        </w:rPr>
        <w:t>e concesiones administrativas con contraprestación</w:t>
      </w:r>
      <w:r w:rsidR="00EE3765" w:rsidRPr="00EE3765">
        <w:rPr>
          <w:rFonts w:ascii="Calibri" w:hAnsi="Calibri"/>
          <w:b w:val="0"/>
          <w:bCs/>
          <w:i/>
          <w:sz w:val="22"/>
          <w:szCs w:val="22"/>
        </w:rPr>
        <w:t xml:space="preserve"> periódica</w:t>
      </w:r>
      <w:r w:rsidR="00EE3765">
        <w:rPr>
          <w:rFonts w:ascii="Calibri" w:hAnsi="Calibri"/>
          <w:b w:val="0"/>
          <w:bCs/>
          <w:sz w:val="22"/>
          <w:szCs w:val="22"/>
        </w:rPr>
        <w:t>”</w:t>
      </w:r>
      <w:r w:rsidR="002835A8">
        <w:rPr>
          <w:rFonts w:ascii="Calibri" w:hAnsi="Calibri"/>
          <w:b w:val="0"/>
          <w:bCs/>
          <w:sz w:val="22"/>
          <w:szCs w:val="22"/>
        </w:rPr>
        <w:t xml:space="preserve">, </w:t>
      </w:r>
      <w:r>
        <w:rPr>
          <w:rFonts w:ascii="Calibri" w:hAnsi="Calibri"/>
          <w:b w:val="0"/>
          <w:bCs/>
          <w:sz w:val="22"/>
          <w:szCs w:val="22"/>
        </w:rPr>
        <w:t xml:space="preserve">mantiene sus previsiones </w:t>
      </w:r>
      <w:r w:rsidR="0033618D">
        <w:rPr>
          <w:rFonts w:ascii="Calibri" w:hAnsi="Calibri"/>
          <w:b w:val="0"/>
          <w:bCs/>
          <w:sz w:val="22"/>
          <w:szCs w:val="22"/>
        </w:rPr>
        <w:t>en 7.000 € y en é</w:t>
      </w:r>
      <w:r w:rsidR="002835A8">
        <w:rPr>
          <w:rFonts w:ascii="Calibri" w:hAnsi="Calibri"/>
          <w:b w:val="0"/>
          <w:bCs/>
          <w:sz w:val="22"/>
          <w:szCs w:val="22"/>
        </w:rPr>
        <w:t>l se prevé recaudar el c</w:t>
      </w:r>
      <w:r w:rsidR="0086551C" w:rsidRPr="00D64BCF">
        <w:rPr>
          <w:rFonts w:ascii="Calibri" w:hAnsi="Calibri"/>
          <w:b w:val="0"/>
          <w:bCs/>
          <w:sz w:val="22"/>
          <w:szCs w:val="22"/>
        </w:rPr>
        <w:t xml:space="preserve">anon correspondiente al contrato administrativo especial </w:t>
      </w:r>
      <w:r w:rsidR="00FA351B" w:rsidRPr="00D64BCF">
        <w:rPr>
          <w:rFonts w:ascii="Calibri" w:hAnsi="Calibri"/>
          <w:b w:val="0"/>
          <w:bCs/>
          <w:sz w:val="22"/>
          <w:szCs w:val="22"/>
        </w:rPr>
        <w:t xml:space="preserve">para la explotación </w:t>
      </w:r>
      <w:r w:rsidR="0086551C" w:rsidRPr="00D64BCF">
        <w:rPr>
          <w:rFonts w:ascii="Calibri" w:hAnsi="Calibri"/>
          <w:b w:val="0"/>
          <w:bCs/>
          <w:sz w:val="22"/>
          <w:szCs w:val="22"/>
        </w:rPr>
        <w:t>de la cafetería del Museo de la Naturaleza y el Hombre.</w:t>
      </w:r>
      <w:r w:rsidR="008A02DA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C60558" w:rsidRDefault="00C60558" w:rsidP="00E46834">
      <w:pPr>
        <w:pStyle w:val="Sangradetextonormal"/>
        <w:rPr>
          <w:rFonts w:ascii="Calibri" w:hAnsi="Calibri"/>
          <w:bCs/>
          <w:sz w:val="22"/>
          <w:szCs w:val="22"/>
          <w:u w:val="single"/>
        </w:rPr>
      </w:pPr>
    </w:p>
    <w:p w:rsidR="00033D35" w:rsidRPr="007970A3" w:rsidRDefault="00033D35" w:rsidP="00E46834">
      <w:pPr>
        <w:pStyle w:val="Sangradetextonormal"/>
        <w:rPr>
          <w:rFonts w:ascii="Calibri" w:hAnsi="Calibri"/>
          <w:bCs/>
          <w:sz w:val="20"/>
          <w:szCs w:val="20"/>
          <w:u w:val="single"/>
        </w:rPr>
      </w:pPr>
      <w:r w:rsidRPr="007970A3">
        <w:rPr>
          <w:rFonts w:ascii="Calibri" w:hAnsi="Calibri"/>
          <w:bCs/>
          <w:sz w:val="20"/>
          <w:szCs w:val="20"/>
          <w:u w:val="single"/>
        </w:rPr>
        <w:t xml:space="preserve">CAPÍTULO </w:t>
      </w:r>
      <w:r w:rsidR="00C12FDD" w:rsidRPr="007970A3">
        <w:rPr>
          <w:rFonts w:ascii="Calibri" w:hAnsi="Calibri"/>
          <w:bCs/>
          <w:sz w:val="20"/>
          <w:szCs w:val="20"/>
          <w:u w:val="single"/>
        </w:rPr>
        <w:t>7</w:t>
      </w:r>
      <w:r w:rsidRPr="007970A3">
        <w:rPr>
          <w:rFonts w:ascii="Calibri" w:hAnsi="Calibri"/>
          <w:bCs/>
          <w:sz w:val="20"/>
          <w:szCs w:val="20"/>
          <w:u w:val="single"/>
        </w:rPr>
        <w:t>: TRANSFERENCIAS DE CAPITAL</w:t>
      </w:r>
    </w:p>
    <w:p w:rsidR="00033D35" w:rsidRDefault="00033D35" w:rsidP="00E46834">
      <w:pPr>
        <w:pStyle w:val="Sangra2detindependiente"/>
        <w:rPr>
          <w:rFonts w:ascii="Calibri" w:hAnsi="Calibri"/>
          <w:iCs/>
          <w:sz w:val="22"/>
          <w:szCs w:val="22"/>
        </w:rPr>
      </w:pPr>
    </w:p>
    <w:p w:rsidR="00DC40A5" w:rsidRDefault="0041130B" w:rsidP="00E46834">
      <w:pPr>
        <w:pStyle w:val="Sangradetextonormal"/>
        <w:rPr>
          <w:rFonts w:ascii="Calibri" w:hAnsi="Calibri"/>
          <w:b w:val="0"/>
          <w:sz w:val="22"/>
          <w:szCs w:val="22"/>
        </w:rPr>
      </w:pPr>
      <w:r w:rsidRPr="00EE1D2D">
        <w:rPr>
          <w:rFonts w:ascii="Calibri" w:hAnsi="Calibri"/>
          <w:b w:val="0"/>
          <w:sz w:val="22"/>
          <w:szCs w:val="22"/>
        </w:rPr>
        <w:t xml:space="preserve">El concepto de este capítulo </w:t>
      </w:r>
      <w:r w:rsidR="0033618D">
        <w:rPr>
          <w:rFonts w:ascii="Calibri" w:hAnsi="Calibri"/>
          <w:b w:val="0"/>
          <w:sz w:val="22"/>
          <w:szCs w:val="22"/>
        </w:rPr>
        <w:t xml:space="preserve">lo configuran las aportaciones específicas de capital </w:t>
      </w:r>
      <w:r w:rsidRPr="00EE1D2D">
        <w:rPr>
          <w:rFonts w:ascii="Calibri" w:hAnsi="Calibri"/>
          <w:b w:val="0"/>
          <w:sz w:val="22"/>
          <w:szCs w:val="22"/>
        </w:rPr>
        <w:t xml:space="preserve">de la Corporación Insular, </w:t>
      </w:r>
      <w:r w:rsidR="0033618D">
        <w:rPr>
          <w:rFonts w:ascii="Calibri" w:hAnsi="Calibri"/>
          <w:b w:val="0"/>
          <w:sz w:val="22"/>
          <w:szCs w:val="22"/>
        </w:rPr>
        <w:t xml:space="preserve">que suman </w:t>
      </w:r>
      <w:r w:rsidR="00D94E5C">
        <w:rPr>
          <w:rFonts w:ascii="Calibri" w:hAnsi="Calibri"/>
          <w:b w:val="0"/>
          <w:sz w:val="22"/>
          <w:szCs w:val="22"/>
        </w:rPr>
        <w:t>704.782,41</w:t>
      </w:r>
      <w:r w:rsidR="0033618D">
        <w:rPr>
          <w:rFonts w:ascii="Calibri" w:hAnsi="Calibri"/>
          <w:b w:val="0"/>
          <w:sz w:val="22"/>
          <w:szCs w:val="22"/>
        </w:rPr>
        <w:t xml:space="preserve"> €</w:t>
      </w:r>
      <w:r w:rsidR="00DC40A5">
        <w:rPr>
          <w:rFonts w:ascii="Calibri" w:hAnsi="Calibri"/>
          <w:b w:val="0"/>
          <w:sz w:val="22"/>
          <w:szCs w:val="22"/>
        </w:rPr>
        <w:t>, según el siguiente</w:t>
      </w:r>
      <w:r w:rsidR="0033618D">
        <w:rPr>
          <w:rFonts w:ascii="Calibri" w:hAnsi="Calibri"/>
          <w:b w:val="0"/>
          <w:sz w:val="22"/>
          <w:szCs w:val="22"/>
        </w:rPr>
        <w:t xml:space="preserve"> desglose</w:t>
      </w:r>
      <w:r w:rsidR="00DC40A5">
        <w:rPr>
          <w:rFonts w:ascii="Calibri" w:hAnsi="Calibri"/>
          <w:b w:val="0"/>
          <w:sz w:val="22"/>
          <w:szCs w:val="22"/>
        </w:rPr>
        <w:t>:</w:t>
      </w:r>
    </w:p>
    <w:p w:rsidR="00D94E5C" w:rsidRDefault="00D94E5C" w:rsidP="00E46834">
      <w:pPr>
        <w:pStyle w:val="Sangradetextonormal"/>
        <w:rPr>
          <w:rFonts w:ascii="Calibri" w:hAnsi="Calibri"/>
          <w:b w:val="0"/>
          <w:sz w:val="22"/>
          <w:szCs w:val="22"/>
        </w:rPr>
      </w:pPr>
    </w:p>
    <w:tbl>
      <w:tblPr>
        <w:tblW w:w="6379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276"/>
      </w:tblGrid>
      <w:tr w:rsidR="00D94E5C" w:rsidRPr="00D94E5C" w:rsidTr="00F824A1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Inversiones generales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233.989,71 €</w:t>
            </w:r>
          </w:p>
        </w:tc>
      </w:tr>
      <w:tr w:rsidR="00D94E5C" w:rsidRPr="00D94E5C" w:rsidTr="00F824A1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Museo de Historia y Antropología de Tenerife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400.000,00 €</w:t>
            </w:r>
          </w:p>
        </w:tc>
      </w:tr>
      <w:tr w:rsidR="00D94E5C" w:rsidRPr="00D94E5C" w:rsidTr="00F824A1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E5C" w:rsidRPr="00D94E5C" w:rsidRDefault="00D94E5C" w:rsidP="00D94E5C">
            <w:pPr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Centro Logístico del Complejo Espeleológico de la Cueva del Viento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70.792,70 €</w:t>
            </w:r>
          </w:p>
        </w:tc>
      </w:tr>
      <w:tr w:rsidR="00D94E5C" w:rsidRPr="00D94E5C" w:rsidTr="00F824A1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5C" w:rsidRPr="00D94E5C" w:rsidRDefault="00D94E5C" w:rsidP="00D94E5C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94E5C">
              <w:rPr>
                <w:rFonts w:ascii="Calibri" w:hAnsi="Calibri"/>
                <w:b/>
                <w:color w:val="000000"/>
                <w:sz w:val="18"/>
                <w:szCs w:val="18"/>
              </w:rPr>
              <w:t>704.782,41 €</w:t>
            </w:r>
          </w:p>
        </w:tc>
      </w:tr>
    </w:tbl>
    <w:p w:rsidR="007970A3" w:rsidRDefault="007970A3" w:rsidP="00E46834">
      <w:pPr>
        <w:pStyle w:val="Sangradetextonormal"/>
        <w:rPr>
          <w:rFonts w:ascii="Calibri" w:hAnsi="Calibri"/>
          <w:bCs/>
          <w:sz w:val="22"/>
          <w:szCs w:val="22"/>
          <w:u w:val="single"/>
        </w:rPr>
      </w:pPr>
    </w:p>
    <w:p w:rsidR="00284E28" w:rsidRPr="007970A3" w:rsidRDefault="00284E28" w:rsidP="00E46834">
      <w:pPr>
        <w:pStyle w:val="Sangradetextonormal"/>
        <w:rPr>
          <w:rFonts w:ascii="Calibri" w:hAnsi="Calibri"/>
          <w:bCs/>
          <w:sz w:val="20"/>
          <w:szCs w:val="20"/>
          <w:u w:val="single"/>
        </w:rPr>
      </w:pPr>
      <w:r w:rsidRPr="007970A3">
        <w:rPr>
          <w:rFonts w:ascii="Calibri" w:hAnsi="Calibri"/>
          <w:bCs/>
          <w:sz w:val="20"/>
          <w:szCs w:val="20"/>
          <w:u w:val="single"/>
        </w:rPr>
        <w:t xml:space="preserve">CAPÍTULO </w:t>
      </w:r>
      <w:r w:rsidR="00C12FDD" w:rsidRPr="007970A3">
        <w:rPr>
          <w:rFonts w:ascii="Calibri" w:hAnsi="Calibri"/>
          <w:bCs/>
          <w:sz w:val="20"/>
          <w:szCs w:val="20"/>
          <w:u w:val="single"/>
        </w:rPr>
        <w:t>8</w:t>
      </w:r>
      <w:r w:rsidRPr="007970A3">
        <w:rPr>
          <w:rFonts w:ascii="Calibri" w:hAnsi="Calibri"/>
          <w:bCs/>
          <w:sz w:val="20"/>
          <w:szCs w:val="20"/>
          <w:u w:val="single"/>
        </w:rPr>
        <w:t>: ACTIVOS FINANCIEROS</w:t>
      </w:r>
    </w:p>
    <w:p w:rsidR="00FC0566" w:rsidRPr="00D64BCF" w:rsidRDefault="00FC0566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FC0566" w:rsidRDefault="00284E28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 w:rsidRPr="00D64BCF">
        <w:rPr>
          <w:rFonts w:ascii="Calibri" w:hAnsi="Calibri"/>
          <w:b w:val="0"/>
          <w:bCs/>
          <w:sz w:val="22"/>
          <w:szCs w:val="22"/>
        </w:rPr>
        <w:t>E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>ste</w:t>
      </w:r>
      <w:r w:rsidRPr="00D64BCF">
        <w:rPr>
          <w:rFonts w:ascii="Calibri" w:hAnsi="Calibri"/>
          <w:b w:val="0"/>
          <w:bCs/>
          <w:sz w:val="22"/>
          <w:szCs w:val="22"/>
        </w:rPr>
        <w:t xml:space="preserve"> capítulo comprend</w:t>
      </w:r>
      <w:r w:rsidR="00E912EA" w:rsidRPr="00D64BCF">
        <w:rPr>
          <w:rFonts w:ascii="Calibri" w:hAnsi="Calibri"/>
          <w:b w:val="0"/>
          <w:bCs/>
          <w:sz w:val="22"/>
          <w:szCs w:val="22"/>
        </w:rPr>
        <w:t xml:space="preserve">e el concepto de </w:t>
      </w:r>
      <w:r w:rsidRPr="00D64BCF">
        <w:rPr>
          <w:rFonts w:ascii="Calibri" w:hAnsi="Calibri"/>
          <w:b w:val="0"/>
          <w:bCs/>
          <w:sz w:val="22"/>
          <w:szCs w:val="22"/>
        </w:rPr>
        <w:t>r</w:t>
      </w:r>
      <w:r w:rsidRPr="00D64BCF">
        <w:rPr>
          <w:rFonts w:ascii="Calibri" w:hAnsi="Calibri"/>
          <w:b w:val="0"/>
          <w:sz w:val="22"/>
          <w:szCs w:val="22"/>
        </w:rPr>
        <w:t>eintegros de préstamos de fuera del sector público</w:t>
      </w:r>
      <w:r w:rsidR="00E912EA" w:rsidRPr="00D64BCF">
        <w:rPr>
          <w:rFonts w:ascii="Calibri" w:hAnsi="Calibri"/>
          <w:b w:val="0"/>
          <w:sz w:val="22"/>
          <w:szCs w:val="22"/>
        </w:rPr>
        <w:t>,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E912EA" w:rsidRPr="00D64BCF">
        <w:rPr>
          <w:rFonts w:ascii="Calibri" w:hAnsi="Calibri"/>
          <w:b w:val="0"/>
          <w:bCs/>
          <w:sz w:val="22"/>
          <w:szCs w:val="22"/>
        </w:rPr>
        <w:t xml:space="preserve">en el cual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se materializan los reintegros de anticipos de nómina al personal del </w:t>
      </w:r>
      <w:r w:rsidR="003F18B6" w:rsidRPr="00D64BCF">
        <w:rPr>
          <w:rFonts w:ascii="Calibri" w:hAnsi="Calibri"/>
          <w:b w:val="0"/>
          <w:bCs/>
          <w:sz w:val="22"/>
          <w:szCs w:val="22"/>
        </w:rPr>
        <w:t>OAMC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, estableciéndose las previsiones en </w:t>
      </w:r>
      <w:r w:rsidR="00034E37" w:rsidRPr="00D64BCF">
        <w:rPr>
          <w:rFonts w:ascii="Calibri" w:hAnsi="Calibri"/>
          <w:b w:val="0"/>
          <w:bCs/>
          <w:sz w:val="22"/>
          <w:szCs w:val="22"/>
        </w:rPr>
        <w:t>120.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000 </w:t>
      </w:r>
      <w:r w:rsidR="002751CC" w:rsidRPr="00D64BCF">
        <w:rPr>
          <w:rFonts w:ascii="Calibri" w:hAnsi="Calibri"/>
          <w:b w:val="0"/>
          <w:bCs/>
          <w:sz w:val="22"/>
          <w:szCs w:val="22"/>
        </w:rPr>
        <w:t>€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>. No obstante, este concepto tiene su equivalencia, por idéntico importe, en el presupuesto de gastos y, a estos efectos, se equilibra automáticamente en cuanto a obligaciones y derechos.</w:t>
      </w:r>
    </w:p>
    <w:p w:rsidR="00DC40A5" w:rsidRPr="00D64BCF" w:rsidRDefault="00DC40A5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9F0C78" w:rsidRDefault="009F0C78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9F0C78" w:rsidRDefault="009F0C78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692D38" w:rsidRDefault="009F0C78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 w:rsidRPr="00D72844">
        <w:rPr>
          <w:rFonts w:ascii="Calibri" w:hAnsi="Calibri"/>
          <w:bCs/>
          <w:sz w:val="22"/>
          <w:szCs w:val="22"/>
        </w:rPr>
        <w:t xml:space="preserve"> </w:t>
      </w:r>
      <w:r w:rsidR="00F55F71" w:rsidRPr="00F55F71">
        <w:rPr>
          <w:rFonts w:ascii="Calibri" w:hAnsi="Calibri"/>
          <w:bCs/>
          <w:sz w:val="20"/>
          <w:szCs w:val="20"/>
        </w:rPr>
        <w:t>OPERACIONES DE CRÉDITO: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970A3">
        <w:rPr>
          <w:rFonts w:ascii="Calibri" w:hAnsi="Calibri"/>
          <w:b w:val="0"/>
          <w:bCs/>
          <w:sz w:val="22"/>
          <w:szCs w:val="22"/>
        </w:rPr>
        <w:t xml:space="preserve">En cuanto a operaciones de crédito,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no está previsto concertar ninguna operación </w:t>
      </w:r>
      <w:r w:rsidR="007970A3">
        <w:rPr>
          <w:rFonts w:ascii="Calibri" w:hAnsi="Calibri"/>
          <w:b w:val="0"/>
          <w:bCs/>
          <w:sz w:val="22"/>
          <w:szCs w:val="22"/>
        </w:rPr>
        <w:t xml:space="preserve">de este tipo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en el ejercicio </w:t>
      </w:r>
      <w:r w:rsidR="00B96B74" w:rsidRPr="00D64BCF">
        <w:rPr>
          <w:rFonts w:ascii="Calibri" w:hAnsi="Calibri"/>
          <w:b w:val="0"/>
          <w:bCs/>
          <w:sz w:val="22"/>
          <w:szCs w:val="22"/>
        </w:rPr>
        <w:t>201</w:t>
      </w:r>
      <w:r w:rsidR="00D94E5C">
        <w:rPr>
          <w:rFonts w:ascii="Calibri" w:hAnsi="Calibri"/>
          <w:b w:val="0"/>
          <w:bCs/>
          <w:sz w:val="22"/>
          <w:szCs w:val="22"/>
        </w:rPr>
        <w:t>9</w:t>
      </w:r>
      <w:r w:rsidR="006C113C">
        <w:rPr>
          <w:rFonts w:ascii="Calibri" w:hAnsi="Calibri"/>
          <w:b w:val="0"/>
          <w:bCs/>
          <w:sz w:val="22"/>
          <w:szCs w:val="22"/>
        </w:rPr>
        <w:t>.</w:t>
      </w:r>
    </w:p>
    <w:p w:rsidR="008A7B70" w:rsidRPr="00D64BCF" w:rsidRDefault="008A7B70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FC0566" w:rsidRPr="00D64BCF" w:rsidRDefault="009F0C78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="008A7B70">
        <w:rPr>
          <w:rFonts w:ascii="Calibri" w:hAnsi="Calibri"/>
          <w:bCs/>
          <w:sz w:val="22"/>
          <w:szCs w:val="22"/>
        </w:rPr>
        <w:t xml:space="preserve">) </w:t>
      </w:r>
      <w:r w:rsidR="00F55F71" w:rsidRPr="00F55F71">
        <w:rPr>
          <w:rFonts w:ascii="Calibri" w:hAnsi="Calibri"/>
          <w:bCs/>
          <w:sz w:val="20"/>
          <w:szCs w:val="20"/>
        </w:rPr>
        <w:t>SUFICIENCIA DE LOS CRÉDITOS PARA ATENDER EL CUMPLIMIENTO DE LAS OBLIGACIONES EXIGIBLES Y LOS GASTOS DE FUNCIONAMIENTO DE LOS SERVICIOS</w:t>
      </w:r>
      <w:r w:rsidR="008A7B70">
        <w:rPr>
          <w:rFonts w:ascii="Calibri" w:hAnsi="Calibri"/>
          <w:bCs/>
          <w:sz w:val="22"/>
          <w:szCs w:val="22"/>
        </w:rPr>
        <w:t>:</w:t>
      </w:r>
      <w:r w:rsidR="00BB7D69">
        <w:rPr>
          <w:rFonts w:ascii="Calibri" w:hAnsi="Calibri"/>
          <w:bCs/>
          <w:sz w:val="22"/>
          <w:szCs w:val="22"/>
        </w:rPr>
        <w:t xml:space="preserve">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>Con el fin de garantizar que se pueda atender el cu</w:t>
      </w:r>
      <w:r w:rsidR="007970A3">
        <w:rPr>
          <w:rFonts w:ascii="Calibri" w:hAnsi="Calibri"/>
          <w:b w:val="0"/>
          <w:bCs/>
          <w:sz w:val="22"/>
          <w:szCs w:val="22"/>
        </w:rPr>
        <w:t xml:space="preserve">mplimiento de las obligaciones, se ha procedido a analizar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>el presupuesto</w:t>
      </w:r>
      <w:r w:rsidR="007970A3">
        <w:rPr>
          <w:rFonts w:ascii="Calibri" w:hAnsi="Calibri"/>
          <w:b w:val="0"/>
          <w:bCs/>
          <w:sz w:val="22"/>
          <w:szCs w:val="22"/>
        </w:rPr>
        <w:t xml:space="preserve"> 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>de gastos de la siguiente forma:</w:t>
      </w:r>
    </w:p>
    <w:p w:rsidR="00FC0566" w:rsidRPr="00D64BCF" w:rsidRDefault="00FC0566" w:rsidP="00E46834">
      <w:pPr>
        <w:pStyle w:val="Sangradetextonormal"/>
        <w:rPr>
          <w:rFonts w:ascii="Calibri" w:hAnsi="Calibri"/>
          <w:sz w:val="22"/>
          <w:szCs w:val="22"/>
        </w:rPr>
      </w:pPr>
    </w:p>
    <w:p w:rsidR="003C2D03" w:rsidRPr="00BA5BE9" w:rsidRDefault="00880975" w:rsidP="003C2D03">
      <w:pPr>
        <w:pStyle w:val="Sangradetextonormal"/>
        <w:rPr>
          <w:rFonts w:asciiTheme="minorHAnsi" w:hAnsiTheme="minorHAnsi"/>
          <w:b w:val="0"/>
          <w:sz w:val="22"/>
          <w:szCs w:val="22"/>
        </w:rPr>
      </w:pPr>
      <w:r w:rsidRPr="00D64BCF">
        <w:rPr>
          <w:rFonts w:ascii="Calibri" w:hAnsi="Calibri"/>
          <w:b w:val="0"/>
          <w:bCs/>
          <w:sz w:val="22"/>
          <w:szCs w:val="22"/>
        </w:rPr>
        <w:t>De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 la cantidad consignada en el </w:t>
      </w:r>
      <w:r w:rsidRPr="00D64BCF">
        <w:rPr>
          <w:rFonts w:ascii="Calibri" w:hAnsi="Calibri"/>
          <w:b w:val="0"/>
          <w:bCs/>
          <w:sz w:val="22"/>
          <w:szCs w:val="22"/>
        </w:rPr>
        <w:t>presupuesto de i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ngresos para financiar gastos corrientes, </w:t>
      </w:r>
      <w:r w:rsidRPr="00D64BCF">
        <w:rPr>
          <w:rFonts w:ascii="Calibri" w:hAnsi="Calibri"/>
          <w:b w:val="0"/>
          <w:bCs/>
          <w:sz w:val="22"/>
          <w:szCs w:val="22"/>
        </w:rPr>
        <w:t xml:space="preserve">se ha descontado </w:t>
      </w:r>
      <w:r w:rsidR="00B96B74" w:rsidRPr="00D64BCF">
        <w:rPr>
          <w:rFonts w:ascii="Calibri" w:hAnsi="Calibri"/>
          <w:b w:val="0"/>
          <w:bCs/>
          <w:sz w:val="22"/>
          <w:szCs w:val="22"/>
        </w:rPr>
        <w:t>el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 </w:t>
      </w:r>
      <w:r w:rsidR="00FC0566" w:rsidRPr="003C2D03">
        <w:rPr>
          <w:rFonts w:ascii="Calibri" w:hAnsi="Calibri"/>
          <w:b w:val="0"/>
          <w:bCs/>
          <w:sz w:val="22"/>
          <w:szCs w:val="22"/>
        </w:rPr>
        <w:t>imp</w:t>
      </w:r>
      <w:r w:rsidR="00B96B74" w:rsidRPr="003C2D03">
        <w:rPr>
          <w:rFonts w:ascii="Calibri" w:hAnsi="Calibri"/>
          <w:b w:val="0"/>
          <w:bCs/>
          <w:sz w:val="22"/>
          <w:szCs w:val="22"/>
        </w:rPr>
        <w:t>orte</w:t>
      </w:r>
      <w:r w:rsidR="00FC0566" w:rsidRPr="003C2D03">
        <w:rPr>
          <w:rFonts w:ascii="Calibri" w:hAnsi="Calibri"/>
          <w:b w:val="0"/>
          <w:bCs/>
          <w:sz w:val="22"/>
          <w:szCs w:val="22"/>
        </w:rPr>
        <w:t xml:space="preserve"> correspondiente a los gastos de personal</w:t>
      </w:r>
      <w:r w:rsidR="00BB7D69" w:rsidRPr="003C2D03">
        <w:rPr>
          <w:rFonts w:ascii="Calibri" w:hAnsi="Calibri"/>
          <w:b w:val="0"/>
          <w:bCs/>
          <w:sz w:val="22"/>
          <w:szCs w:val="22"/>
        </w:rPr>
        <w:t xml:space="preserve">, los cuales ascienden a </w:t>
      </w:r>
      <w:r w:rsidR="00D94E5C">
        <w:rPr>
          <w:rFonts w:ascii="Calibri" w:hAnsi="Calibri"/>
          <w:b w:val="0"/>
          <w:bCs/>
          <w:sz w:val="22"/>
          <w:szCs w:val="22"/>
        </w:rPr>
        <w:t>5.343.370,9</w:t>
      </w:r>
      <w:r w:rsidR="00F55F71">
        <w:rPr>
          <w:rFonts w:ascii="Calibri" w:hAnsi="Calibri"/>
          <w:b w:val="0"/>
          <w:bCs/>
          <w:sz w:val="22"/>
          <w:szCs w:val="22"/>
        </w:rPr>
        <w:t>4</w:t>
      </w:r>
      <w:r w:rsidR="00BB7D69" w:rsidRPr="003C2D03">
        <w:rPr>
          <w:rFonts w:ascii="Calibri" w:hAnsi="Calibri"/>
          <w:b w:val="0"/>
          <w:bCs/>
          <w:sz w:val="22"/>
          <w:szCs w:val="22"/>
        </w:rPr>
        <w:t xml:space="preserve"> €</w:t>
      </w:r>
      <w:r w:rsidR="00FC0566" w:rsidRPr="003C2D03">
        <w:rPr>
          <w:rFonts w:ascii="Calibri" w:hAnsi="Calibri"/>
          <w:b w:val="0"/>
          <w:bCs/>
          <w:sz w:val="22"/>
          <w:szCs w:val="22"/>
        </w:rPr>
        <w:t>.</w:t>
      </w:r>
      <w:r w:rsidR="00232C53" w:rsidRPr="00232C53">
        <w:rPr>
          <w:rFonts w:ascii="Calibri" w:hAnsi="Calibri"/>
          <w:b w:val="0"/>
          <w:bCs/>
          <w:sz w:val="22"/>
          <w:szCs w:val="22"/>
        </w:rPr>
        <w:t xml:space="preserve"> </w:t>
      </w:r>
      <w:r w:rsidR="003C2D03" w:rsidRPr="003C2D03">
        <w:rPr>
          <w:rFonts w:ascii="Calibri" w:hAnsi="Calibri"/>
          <w:b w:val="0"/>
          <w:color w:val="000000" w:themeColor="text1"/>
          <w:sz w:val="22"/>
          <w:szCs w:val="22"/>
        </w:rPr>
        <w:t>En este capítulo se ha llevado a cabo u</w:t>
      </w:r>
      <w:r w:rsidR="003C2D03" w:rsidRPr="003C2D03">
        <w:rPr>
          <w:rFonts w:asciiTheme="minorHAnsi" w:hAnsiTheme="minorHAnsi"/>
          <w:b w:val="0"/>
          <w:sz w:val="22"/>
          <w:szCs w:val="22"/>
        </w:rPr>
        <w:t xml:space="preserve">na racionalización de los recursos humanos del OAMC ajustándolos a las necesidades de su actividad real, </w:t>
      </w:r>
      <w:r w:rsidR="003C2D03" w:rsidRPr="00BA5BE9">
        <w:rPr>
          <w:rFonts w:asciiTheme="minorHAnsi" w:hAnsiTheme="minorHAnsi"/>
          <w:b w:val="0"/>
          <w:sz w:val="22"/>
          <w:szCs w:val="22"/>
        </w:rPr>
        <w:t>a cuyo efecto se ha procedido a dotar aquellas plazas que figuraban sin dotación presupuestaria en el ejercicio 201</w:t>
      </w:r>
      <w:r w:rsidR="00D94E5C" w:rsidRPr="00BA5BE9">
        <w:rPr>
          <w:rFonts w:asciiTheme="minorHAnsi" w:hAnsiTheme="minorHAnsi"/>
          <w:b w:val="0"/>
          <w:sz w:val="22"/>
          <w:szCs w:val="22"/>
        </w:rPr>
        <w:t>8</w:t>
      </w:r>
      <w:r w:rsidR="003C2D03" w:rsidRPr="00BA5BE9">
        <w:rPr>
          <w:rFonts w:asciiTheme="minorHAnsi" w:hAnsiTheme="minorHAnsi"/>
          <w:b w:val="0"/>
          <w:sz w:val="22"/>
          <w:szCs w:val="22"/>
        </w:rPr>
        <w:t xml:space="preserve">, y que se consideran imprescindibles para garantizar el servicio público que se presta, particularmente en los servicios prioritarios o esenciales o aquellos que se requieren legalmente. La </w:t>
      </w:r>
      <w:r w:rsidR="00A234B5">
        <w:rPr>
          <w:rFonts w:asciiTheme="minorHAnsi" w:hAnsiTheme="minorHAnsi"/>
          <w:b w:val="0"/>
          <w:sz w:val="22"/>
          <w:szCs w:val="22"/>
        </w:rPr>
        <w:t>dotación de estas plazas supone</w:t>
      </w:r>
      <w:r w:rsidR="003C2D03" w:rsidRPr="00BA5BE9">
        <w:rPr>
          <w:rFonts w:asciiTheme="minorHAnsi" w:hAnsiTheme="minorHAnsi"/>
          <w:b w:val="0"/>
          <w:sz w:val="22"/>
          <w:szCs w:val="22"/>
        </w:rPr>
        <w:t xml:space="preserve"> un incremento del Capítulo </w:t>
      </w:r>
      <w:r w:rsidR="00F154BF" w:rsidRPr="00BA5BE9">
        <w:rPr>
          <w:rFonts w:asciiTheme="minorHAnsi" w:hAnsiTheme="minorHAnsi"/>
          <w:b w:val="0"/>
          <w:sz w:val="22"/>
          <w:szCs w:val="22"/>
        </w:rPr>
        <w:t xml:space="preserve">I </w:t>
      </w:r>
      <w:r w:rsidR="003C2D03" w:rsidRPr="00BA5BE9">
        <w:rPr>
          <w:rFonts w:asciiTheme="minorHAnsi" w:hAnsiTheme="minorHAnsi"/>
          <w:b w:val="0"/>
          <w:sz w:val="22"/>
          <w:szCs w:val="22"/>
        </w:rPr>
        <w:t xml:space="preserve">de </w:t>
      </w:r>
      <w:r w:rsidR="00ED5DC8" w:rsidRPr="00BA5BE9">
        <w:rPr>
          <w:rFonts w:asciiTheme="minorHAnsi" w:hAnsiTheme="minorHAnsi"/>
          <w:b w:val="0"/>
          <w:sz w:val="22"/>
          <w:szCs w:val="22"/>
        </w:rPr>
        <w:t>58.663,70 €:</w:t>
      </w:r>
    </w:p>
    <w:p w:rsidR="00ED5DC8" w:rsidRDefault="00ED5DC8" w:rsidP="003C2D03">
      <w:pPr>
        <w:pStyle w:val="Sangradetextonormal"/>
        <w:rPr>
          <w:rFonts w:asciiTheme="minorHAnsi" w:hAnsiTheme="minorHAnsi"/>
          <w:b w:val="0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73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240"/>
        <w:gridCol w:w="1240"/>
        <w:gridCol w:w="1191"/>
      </w:tblGrid>
      <w:tr w:rsidR="00BA5BE9" w:rsidRPr="00ED5DC8" w:rsidTr="00780C4D">
        <w:trPr>
          <w:trHeight w:val="492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D5DC8">
              <w:rPr>
                <w:rFonts w:ascii="Calibri" w:hAnsi="Calibri"/>
                <w:b/>
                <w:sz w:val="18"/>
                <w:szCs w:val="18"/>
                <w:lang w:val="es-ES_tradnl"/>
              </w:rPr>
              <w:t>Plaza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5BE9" w:rsidRPr="00ED5DC8" w:rsidRDefault="00BA5BE9" w:rsidP="00BA5BE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5DC8">
              <w:rPr>
                <w:rFonts w:ascii="Calibri" w:hAnsi="Calibri"/>
                <w:b/>
                <w:sz w:val="18"/>
                <w:szCs w:val="18"/>
                <w:lang w:val="es-ES_tradnl"/>
              </w:rPr>
              <w:t>Retribuciones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A5BE9" w:rsidRPr="00ED5DC8" w:rsidRDefault="00BA5BE9" w:rsidP="00BA5BE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5DC8">
              <w:rPr>
                <w:rFonts w:ascii="Calibri" w:hAnsi="Calibri"/>
                <w:b/>
                <w:sz w:val="18"/>
                <w:szCs w:val="18"/>
                <w:lang w:val="es-ES_tradnl"/>
              </w:rPr>
              <w:t>Seguridad Social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A5BE9" w:rsidRPr="00ED5DC8" w:rsidRDefault="00BA5BE9" w:rsidP="00BA5BE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D5DC8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</w:tr>
      <w:tr w:rsidR="00BA5BE9" w:rsidRPr="00ED5DC8" w:rsidTr="00780C4D">
        <w:trPr>
          <w:trHeight w:val="300"/>
        </w:trPr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rPr>
                <w:rFonts w:ascii="Calibri" w:hAnsi="Calibri"/>
                <w:bCs w:val="0"/>
                <w:sz w:val="18"/>
                <w:szCs w:val="18"/>
              </w:rPr>
            </w:pPr>
            <w:r w:rsidRPr="00ED5DC8">
              <w:rPr>
                <w:rFonts w:ascii="Calibri" w:hAnsi="Calibri"/>
                <w:bCs w:val="0"/>
                <w:sz w:val="18"/>
                <w:szCs w:val="18"/>
                <w:lang w:val="es-ES_tradnl"/>
              </w:rPr>
              <w:t>Conservador (6 meses)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Cs w:val="0"/>
                <w:sz w:val="18"/>
                <w:szCs w:val="18"/>
              </w:rPr>
            </w:pPr>
            <w:r w:rsidRPr="00ED5DC8">
              <w:rPr>
                <w:rFonts w:ascii="Calibri" w:hAnsi="Calibri"/>
                <w:bCs w:val="0"/>
                <w:sz w:val="18"/>
                <w:szCs w:val="18"/>
                <w:lang w:val="es-ES_tradnl"/>
              </w:rPr>
              <w:t>20.253,65 €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Cs w:val="0"/>
                <w:sz w:val="18"/>
                <w:szCs w:val="18"/>
              </w:rPr>
            </w:pPr>
            <w:r w:rsidRPr="00ED5DC8">
              <w:rPr>
                <w:rFonts w:ascii="Calibri" w:hAnsi="Calibri"/>
                <w:bCs w:val="0"/>
                <w:sz w:val="18"/>
                <w:szCs w:val="18"/>
                <w:lang w:val="es-ES_tradnl"/>
              </w:rPr>
              <w:t>6.309,00 €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Cs w:val="0"/>
                <w:sz w:val="18"/>
                <w:szCs w:val="18"/>
              </w:rPr>
            </w:pPr>
            <w:r w:rsidRPr="00ED5DC8">
              <w:rPr>
                <w:rFonts w:ascii="Calibri" w:hAnsi="Calibri"/>
                <w:bCs w:val="0"/>
                <w:sz w:val="18"/>
                <w:szCs w:val="18"/>
              </w:rPr>
              <w:t>26.562,65 €</w:t>
            </w:r>
          </w:p>
        </w:tc>
      </w:tr>
      <w:tr w:rsidR="00BA5BE9" w:rsidRPr="00ED5DC8" w:rsidTr="00780C4D">
        <w:trPr>
          <w:trHeight w:val="312"/>
        </w:trPr>
        <w:tc>
          <w:tcPr>
            <w:tcW w:w="2420" w:type="dxa"/>
            <w:shd w:val="clear" w:color="auto" w:fill="auto"/>
            <w:vAlign w:val="center"/>
            <w:hideMark/>
          </w:tcPr>
          <w:p w:rsidR="00BA5BE9" w:rsidRPr="00ED5DC8" w:rsidRDefault="00BA5BE9" w:rsidP="00BA5BE9">
            <w:pPr>
              <w:rPr>
                <w:rFonts w:ascii="Calibri" w:hAnsi="Calibri"/>
                <w:bCs w:val="0"/>
                <w:sz w:val="18"/>
                <w:szCs w:val="18"/>
              </w:rPr>
            </w:pPr>
            <w:r w:rsidRPr="00ED5DC8">
              <w:rPr>
                <w:rFonts w:ascii="Calibri" w:hAnsi="Calibri"/>
                <w:bCs w:val="0"/>
                <w:sz w:val="18"/>
                <w:szCs w:val="18"/>
                <w:lang w:val="es-ES_tradnl"/>
              </w:rPr>
              <w:t>Técnico en Audiovisuales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Cs w:val="0"/>
                <w:sz w:val="18"/>
                <w:szCs w:val="18"/>
              </w:rPr>
            </w:pPr>
            <w:r w:rsidRPr="00ED5DC8">
              <w:rPr>
                <w:rFonts w:ascii="Calibri" w:hAnsi="Calibri"/>
                <w:bCs w:val="0"/>
                <w:sz w:val="18"/>
                <w:szCs w:val="18"/>
                <w:lang w:val="es-ES_tradnl"/>
              </w:rPr>
              <w:t>24.476,58 €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Cs w:val="0"/>
                <w:sz w:val="18"/>
                <w:szCs w:val="18"/>
              </w:rPr>
            </w:pPr>
            <w:r w:rsidRPr="00ED5DC8">
              <w:rPr>
                <w:rFonts w:ascii="Calibri" w:hAnsi="Calibri"/>
                <w:bCs w:val="0"/>
                <w:sz w:val="18"/>
                <w:szCs w:val="18"/>
                <w:lang w:val="es-ES_tradnl"/>
              </w:rPr>
              <w:t>7.624,47 €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Cs w:val="0"/>
                <w:sz w:val="18"/>
                <w:szCs w:val="18"/>
              </w:rPr>
            </w:pPr>
            <w:r w:rsidRPr="00ED5DC8">
              <w:rPr>
                <w:rFonts w:ascii="Calibri" w:hAnsi="Calibri"/>
                <w:bCs w:val="0"/>
                <w:sz w:val="18"/>
                <w:szCs w:val="18"/>
              </w:rPr>
              <w:t>32.101,05 €</w:t>
            </w:r>
          </w:p>
        </w:tc>
      </w:tr>
      <w:tr w:rsidR="00BA5BE9" w:rsidRPr="00ED5DC8" w:rsidTr="00780C4D">
        <w:trPr>
          <w:trHeight w:val="300"/>
        </w:trPr>
        <w:tc>
          <w:tcPr>
            <w:tcW w:w="2420" w:type="dxa"/>
            <w:shd w:val="clear" w:color="auto" w:fill="auto"/>
            <w:vAlign w:val="bottom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Cs w:val="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ED5DC8">
              <w:rPr>
                <w:rFonts w:ascii="Calibri" w:hAnsi="Calibri"/>
                <w:b/>
                <w:sz w:val="18"/>
                <w:szCs w:val="18"/>
              </w:rPr>
              <w:t>44.730,23 €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ED5DC8">
              <w:rPr>
                <w:rFonts w:ascii="Calibri" w:hAnsi="Calibri"/>
                <w:b/>
                <w:sz w:val="18"/>
                <w:szCs w:val="18"/>
              </w:rPr>
              <w:t>13.933,47 €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A5BE9" w:rsidRPr="00ED5DC8" w:rsidRDefault="00BA5BE9" w:rsidP="00BA5BE9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ED5DC8">
              <w:rPr>
                <w:rFonts w:ascii="Calibri" w:hAnsi="Calibri"/>
                <w:b/>
                <w:sz w:val="18"/>
                <w:szCs w:val="18"/>
              </w:rPr>
              <w:t>58.663,70 €</w:t>
            </w:r>
          </w:p>
        </w:tc>
      </w:tr>
    </w:tbl>
    <w:p w:rsidR="00ED5DC8" w:rsidRDefault="00ED5DC8" w:rsidP="003C2D03">
      <w:pPr>
        <w:pStyle w:val="Sangradetextonormal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ED5DC8" w:rsidRDefault="00ED5DC8" w:rsidP="003C2D03">
      <w:pPr>
        <w:pStyle w:val="Sangradetextonormal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ED5DC8" w:rsidRDefault="00ED5DC8" w:rsidP="003C2D03">
      <w:pPr>
        <w:pStyle w:val="Sangradetextonormal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ED5DC8" w:rsidRDefault="00ED5DC8" w:rsidP="003C2D03">
      <w:pPr>
        <w:pStyle w:val="Sangradetextonormal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ED5DC8" w:rsidRDefault="00ED5DC8" w:rsidP="003C2D03">
      <w:pPr>
        <w:pStyle w:val="Sangradetextonormal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ED5DC8" w:rsidRPr="00D94E5C" w:rsidRDefault="00ED5DC8" w:rsidP="003C2D03">
      <w:pPr>
        <w:pStyle w:val="Sangradetextonormal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E136D9" w:rsidRPr="00D94E5C" w:rsidRDefault="00E136D9" w:rsidP="003C2D03">
      <w:pPr>
        <w:pStyle w:val="Sangradetextonormal"/>
        <w:rPr>
          <w:rFonts w:asciiTheme="minorHAnsi" w:hAnsiTheme="minorHAnsi"/>
          <w:b w:val="0"/>
          <w:color w:val="FF0000"/>
          <w:sz w:val="22"/>
          <w:szCs w:val="22"/>
        </w:rPr>
      </w:pPr>
    </w:p>
    <w:p w:rsidR="00A234B5" w:rsidRDefault="00A234B5" w:rsidP="00232C53">
      <w:pPr>
        <w:pStyle w:val="Sangra2detindependiente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Asimismo, y sin perjuicio de los incrementos ya incorporados (</w:t>
      </w:r>
      <w:r w:rsidRPr="00470070">
        <w:rPr>
          <w:rFonts w:asciiTheme="minorHAnsi" w:hAnsiTheme="minorHAnsi"/>
          <w:sz w:val="22"/>
          <w:szCs w:val="22"/>
          <w:lang w:val="es-ES"/>
        </w:rPr>
        <w:t>1,</w:t>
      </w:r>
      <w:r>
        <w:rPr>
          <w:rFonts w:asciiTheme="minorHAnsi" w:hAnsiTheme="minorHAnsi"/>
          <w:sz w:val="22"/>
          <w:szCs w:val="22"/>
          <w:lang w:val="es-ES"/>
        </w:rPr>
        <w:t>75</w:t>
      </w:r>
      <w:r w:rsidRPr="00470070">
        <w:rPr>
          <w:rFonts w:asciiTheme="minorHAnsi" w:hAnsiTheme="minorHAnsi"/>
          <w:sz w:val="22"/>
          <w:szCs w:val="22"/>
          <w:lang w:val="es-ES"/>
        </w:rPr>
        <w:t xml:space="preserve">%, </w:t>
      </w:r>
      <w:r>
        <w:rPr>
          <w:rFonts w:asciiTheme="minorHAnsi" w:hAnsiTheme="minorHAnsi"/>
          <w:sz w:val="22"/>
          <w:szCs w:val="22"/>
          <w:lang w:val="es-ES"/>
        </w:rPr>
        <w:t>100% del complemento específico en pagas extras,</w:t>
      </w:r>
      <w:r w:rsidRPr="00470070">
        <w:rPr>
          <w:rFonts w:asciiTheme="minorHAnsi" w:hAnsiTheme="minorHAnsi"/>
          <w:sz w:val="22"/>
          <w:szCs w:val="22"/>
          <w:lang w:val="es-ES"/>
        </w:rPr>
        <w:t xml:space="preserve"> así como el 0,3% de la masa salarial, previstos en la Ley 6/2018, de 3 de julio de PGE para 2018</w:t>
      </w:r>
      <w:r>
        <w:rPr>
          <w:rFonts w:asciiTheme="minorHAnsi" w:hAnsiTheme="minorHAnsi"/>
          <w:sz w:val="22"/>
          <w:szCs w:val="22"/>
          <w:lang w:val="es-ES"/>
        </w:rPr>
        <w:t xml:space="preserve">), </w:t>
      </w:r>
      <w:r>
        <w:rPr>
          <w:rFonts w:asciiTheme="minorHAnsi" w:hAnsiTheme="minorHAnsi"/>
          <w:sz w:val="22"/>
          <w:szCs w:val="22"/>
        </w:rPr>
        <w:t xml:space="preserve">con arreglo al Acuerdo adoptado en el ámbito de la Corporación, así como en el OAMC, en el presente ejercicio 2018, relativo a la recuperación del valor del punto del complemento específico, se consigna la dotación presupuestaria necesaria que tal acuerdo comporta y </w:t>
      </w:r>
      <w:r w:rsidRPr="002150D1">
        <w:rPr>
          <w:rFonts w:asciiTheme="minorHAnsi" w:hAnsiTheme="minorHAnsi"/>
          <w:sz w:val="22"/>
          <w:szCs w:val="22"/>
        </w:rPr>
        <w:t xml:space="preserve">que asciende a </w:t>
      </w:r>
      <w:r w:rsidR="00861A87">
        <w:rPr>
          <w:rFonts w:asciiTheme="minorHAnsi" w:hAnsiTheme="minorHAnsi"/>
          <w:sz w:val="22"/>
          <w:szCs w:val="22"/>
        </w:rPr>
        <w:t>23.094,06 €.</w:t>
      </w:r>
    </w:p>
    <w:p w:rsidR="008D7660" w:rsidRDefault="008D7660" w:rsidP="008D7660">
      <w:pPr>
        <w:overflowPunct w:val="0"/>
        <w:autoSpaceDE w:val="0"/>
        <w:autoSpaceDN w:val="0"/>
        <w:adjustRightInd w:val="0"/>
        <w:ind w:right="1418" w:firstLine="709"/>
        <w:jc w:val="both"/>
        <w:textAlignment w:val="baseline"/>
        <w:rPr>
          <w:rFonts w:asciiTheme="minorHAnsi" w:hAnsiTheme="minorHAnsi"/>
          <w:bCs w:val="0"/>
          <w:sz w:val="22"/>
          <w:szCs w:val="22"/>
          <w:lang w:val="es-ES_tradnl"/>
        </w:rPr>
      </w:pPr>
    </w:p>
    <w:p w:rsidR="008D7660" w:rsidRPr="008D7660" w:rsidRDefault="008D7660" w:rsidP="008D7660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Theme="minorHAnsi" w:hAnsiTheme="minorHAnsi"/>
          <w:bCs w:val="0"/>
          <w:sz w:val="22"/>
          <w:szCs w:val="22"/>
          <w:lang w:val="es-ES_tradnl"/>
        </w:rPr>
      </w:pPr>
      <w:r>
        <w:rPr>
          <w:rFonts w:asciiTheme="minorHAnsi" w:hAnsiTheme="minorHAnsi"/>
          <w:bCs w:val="0"/>
          <w:sz w:val="22"/>
          <w:szCs w:val="22"/>
          <w:lang w:val="es-ES_tradnl"/>
        </w:rPr>
        <w:t>S</w:t>
      </w:r>
      <w:r w:rsidRPr="008D7660">
        <w:rPr>
          <w:rFonts w:asciiTheme="minorHAnsi" w:hAnsiTheme="minorHAnsi"/>
          <w:bCs w:val="0"/>
          <w:sz w:val="22"/>
          <w:szCs w:val="22"/>
          <w:lang w:val="es-ES_tradnl"/>
        </w:rPr>
        <w:t xml:space="preserve">e ha de poner de manifiesto que el OAMC se halla inmerso en la negociación con los representantes de los trabajadores, en orden a la adecuación de funciones de los puestos de trabajo de Recepcionistas, Auxiliares Administrativos y Conservadores. </w:t>
      </w:r>
      <w:r>
        <w:rPr>
          <w:rFonts w:asciiTheme="minorHAnsi" w:hAnsiTheme="minorHAnsi"/>
          <w:bCs w:val="0"/>
          <w:sz w:val="22"/>
          <w:szCs w:val="22"/>
          <w:lang w:val="es-ES_tradnl"/>
        </w:rPr>
        <w:t>En este sentido, c</w:t>
      </w:r>
      <w:r w:rsidRPr="008D7660">
        <w:rPr>
          <w:rFonts w:asciiTheme="minorHAnsi" w:hAnsiTheme="minorHAnsi"/>
          <w:bCs w:val="0"/>
          <w:sz w:val="22"/>
          <w:szCs w:val="22"/>
          <w:lang w:val="es-ES_tradnl"/>
        </w:rPr>
        <w:t>onforme al calendario establecido para la aprobación del Presupuesto, la conclusión de la referida negociación no tendrá lugar antes de la aprobación de la Plantilla y RPT para el ejercicio 2019, por lo que la correspondiente adecuación de la RPT será, en su caso, objeto de tramitación posterior. No obstante, a tal efecto, y con el fin de poder atender las posibles adecuaciones retributivas que, con carácter singular y excepcional, resulten imprescindibles por el contenido de los puestos de trabajo, se consignan créditos por importe de 13.168,75 €, por un periodo de nueve meses.</w:t>
      </w:r>
    </w:p>
    <w:p w:rsidR="008D7660" w:rsidRDefault="008D7660" w:rsidP="008D766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Theme="minorHAnsi" w:hAnsiTheme="minorHAnsi"/>
          <w:bCs w:val="0"/>
          <w:sz w:val="22"/>
          <w:szCs w:val="22"/>
          <w:lang w:val="es-ES_tradnl"/>
        </w:rPr>
      </w:pPr>
    </w:p>
    <w:p w:rsidR="008D7660" w:rsidRDefault="008D7660" w:rsidP="00A0520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Theme="minorHAnsi" w:hAnsiTheme="minorHAnsi"/>
          <w:bCs w:val="0"/>
          <w:sz w:val="22"/>
          <w:szCs w:val="22"/>
          <w:lang w:val="es-ES_tradnl"/>
        </w:rPr>
      </w:pPr>
      <w:r>
        <w:rPr>
          <w:rFonts w:asciiTheme="minorHAnsi" w:hAnsiTheme="minorHAnsi"/>
          <w:bCs w:val="0"/>
          <w:sz w:val="22"/>
          <w:szCs w:val="22"/>
          <w:lang w:val="es-ES_tradnl"/>
        </w:rPr>
        <w:t xml:space="preserve">Por último, </w:t>
      </w:r>
      <w:r w:rsidRPr="008D7660">
        <w:rPr>
          <w:rFonts w:asciiTheme="minorHAnsi" w:hAnsiTheme="minorHAnsi"/>
          <w:bCs w:val="0"/>
          <w:sz w:val="22"/>
          <w:szCs w:val="22"/>
          <w:lang w:val="es-ES_tradnl"/>
        </w:rPr>
        <w:t>se crea un complemento funcional de “Coordinación”, en previsión del desempeño temporal, por no existir o estar vacante, un puesto de grupo A1 y requerirse funcionalmente la coordinación de departamento por un puesto de grupo A2</w:t>
      </w:r>
      <w:r>
        <w:rPr>
          <w:rFonts w:asciiTheme="minorHAnsi" w:hAnsiTheme="minorHAnsi"/>
          <w:bCs w:val="0"/>
          <w:sz w:val="22"/>
          <w:szCs w:val="22"/>
          <w:lang w:val="es-ES_tradnl"/>
        </w:rPr>
        <w:t>, por importe de 6.221,76 €.</w:t>
      </w:r>
    </w:p>
    <w:p w:rsidR="008D7660" w:rsidRPr="008D7660" w:rsidRDefault="008D7660" w:rsidP="008D7660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Theme="minorHAnsi" w:hAnsiTheme="minorHAnsi"/>
          <w:bCs w:val="0"/>
          <w:sz w:val="22"/>
          <w:szCs w:val="22"/>
          <w:lang w:val="es-ES_tradnl"/>
        </w:rPr>
      </w:pPr>
    </w:p>
    <w:p w:rsidR="00534ECD" w:rsidRDefault="00FC0566" w:rsidP="008D7660">
      <w:pPr>
        <w:pStyle w:val="Sangradetextonormal"/>
        <w:ind w:right="-1"/>
        <w:rPr>
          <w:rFonts w:ascii="Calibri" w:hAnsi="Calibri"/>
          <w:b w:val="0"/>
          <w:bCs/>
          <w:sz w:val="22"/>
          <w:szCs w:val="22"/>
        </w:rPr>
      </w:pPr>
      <w:r w:rsidRPr="00D64BCF">
        <w:rPr>
          <w:rFonts w:ascii="Calibri" w:hAnsi="Calibri"/>
          <w:b w:val="0"/>
          <w:bCs/>
          <w:sz w:val="22"/>
          <w:szCs w:val="22"/>
        </w:rPr>
        <w:t xml:space="preserve">Posteriormente, se </w:t>
      </w:r>
      <w:r w:rsidR="00B96B74" w:rsidRPr="00D64BCF">
        <w:rPr>
          <w:rFonts w:ascii="Calibri" w:hAnsi="Calibri"/>
          <w:b w:val="0"/>
          <w:bCs/>
          <w:sz w:val="22"/>
          <w:szCs w:val="22"/>
        </w:rPr>
        <w:t xml:space="preserve">han </w:t>
      </w:r>
      <w:r w:rsidRPr="00D64BCF">
        <w:rPr>
          <w:rFonts w:ascii="Calibri" w:hAnsi="Calibri"/>
          <w:b w:val="0"/>
          <w:bCs/>
          <w:sz w:val="22"/>
          <w:szCs w:val="22"/>
        </w:rPr>
        <w:t>eval</w:t>
      </w:r>
      <w:r w:rsidR="00B96B74" w:rsidRPr="00D64BCF">
        <w:rPr>
          <w:rFonts w:ascii="Calibri" w:hAnsi="Calibri"/>
          <w:b w:val="0"/>
          <w:bCs/>
          <w:sz w:val="22"/>
          <w:szCs w:val="22"/>
        </w:rPr>
        <w:t xml:space="preserve">uado </w:t>
      </w:r>
      <w:r w:rsidRPr="00D64BCF">
        <w:rPr>
          <w:rFonts w:ascii="Calibri" w:hAnsi="Calibri"/>
          <w:b w:val="0"/>
          <w:bCs/>
          <w:sz w:val="22"/>
          <w:szCs w:val="22"/>
        </w:rPr>
        <w:t>y cuantifica</w:t>
      </w:r>
      <w:r w:rsidR="00B96B74" w:rsidRPr="00D64BCF">
        <w:rPr>
          <w:rFonts w:ascii="Calibri" w:hAnsi="Calibri"/>
          <w:b w:val="0"/>
          <w:bCs/>
          <w:sz w:val="22"/>
          <w:szCs w:val="22"/>
        </w:rPr>
        <w:t xml:space="preserve">do </w:t>
      </w:r>
      <w:r w:rsidRPr="00D64BCF">
        <w:rPr>
          <w:rFonts w:ascii="Calibri" w:hAnsi="Calibri"/>
          <w:b w:val="0"/>
          <w:bCs/>
          <w:sz w:val="22"/>
          <w:szCs w:val="22"/>
        </w:rPr>
        <w:t>las estimaciones de gastos de funcio</w:t>
      </w:r>
      <w:r w:rsidR="00656D55" w:rsidRPr="00D64BCF">
        <w:rPr>
          <w:rFonts w:ascii="Calibri" w:hAnsi="Calibri"/>
          <w:b w:val="0"/>
          <w:bCs/>
          <w:sz w:val="22"/>
          <w:szCs w:val="22"/>
        </w:rPr>
        <w:t xml:space="preserve">namiento del </w:t>
      </w:r>
      <w:r w:rsidR="00ED2AF2">
        <w:rPr>
          <w:rFonts w:ascii="Calibri" w:hAnsi="Calibri"/>
          <w:b w:val="0"/>
          <w:bCs/>
          <w:sz w:val="22"/>
          <w:szCs w:val="22"/>
        </w:rPr>
        <w:t>OAMC</w:t>
      </w:r>
      <w:r w:rsidRPr="00D64BCF">
        <w:rPr>
          <w:rFonts w:ascii="Calibri" w:hAnsi="Calibri"/>
          <w:b w:val="0"/>
          <w:bCs/>
          <w:sz w:val="22"/>
          <w:szCs w:val="22"/>
        </w:rPr>
        <w:t xml:space="preserve"> para el ejercicio, tomando como referencia los datos obtenidos </w:t>
      </w:r>
      <w:r w:rsidR="00526846" w:rsidRPr="00D64BCF">
        <w:rPr>
          <w:rFonts w:ascii="Calibri" w:hAnsi="Calibri"/>
          <w:b w:val="0"/>
          <w:bCs/>
          <w:sz w:val="22"/>
          <w:szCs w:val="22"/>
        </w:rPr>
        <w:t xml:space="preserve">en </w:t>
      </w:r>
      <w:r w:rsidRPr="00D64BCF">
        <w:rPr>
          <w:rFonts w:ascii="Calibri" w:hAnsi="Calibri"/>
          <w:b w:val="0"/>
          <w:bCs/>
          <w:sz w:val="22"/>
          <w:szCs w:val="22"/>
        </w:rPr>
        <w:t xml:space="preserve">el ejercicio en curso, así como la previsible evolución de los </w:t>
      </w:r>
      <w:r w:rsidRPr="000C4630">
        <w:rPr>
          <w:rFonts w:ascii="Calibri" w:hAnsi="Calibri"/>
          <w:b w:val="0"/>
          <w:bCs/>
          <w:sz w:val="22"/>
          <w:szCs w:val="22"/>
        </w:rPr>
        <w:t>mismos</w:t>
      </w:r>
      <w:r w:rsidR="00F55F71">
        <w:rPr>
          <w:rFonts w:ascii="Calibri" w:hAnsi="Calibri"/>
          <w:b w:val="0"/>
          <w:bCs/>
          <w:sz w:val="22"/>
          <w:szCs w:val="22"/>
        </w:rPr>
        <w:t xml:space="preserve">, </w:t>
      </w:r>
      <w:r w:rsidR="00780C4D">
        <w:rPr>
          <w:rFonts w:ascii="Calibri" w:hAnsi="Calibri"/>
          <w:b w:val="0"/>
          <w:bCs/>
          <w:sz w:val="22"/>
          <w:szCs w:val="22"/>
        </w:rPr>
        <w:t>consign</w:t>
      </w:r>
      <w:r w:rsidR="00F55F71">
        <w:rPr>
          <w:rFonts w:ascii="Calibri" w:hAnsi="Calibri"/>
          <w:b w:val="0"/>
          <w:bCs/>
          <w:sz w:val="22"/>
          <w:szCs w:val="22"/>
        </w:rPr>
        <w:t>ándose</w:t>
      </w:r>
      <w:r w:rsidR="00780C4D">
        <w:rPr>
          <w:rFonts w:ascii="Calibri" w:hAnsi="Calibri"/>
          <w:b w:val="0"/>
          <w:bCs/>
          <w:sz w:val="22"/>
          <w:szCs w:val="22"/>
        </w:rPr>
        <w:t xml:space="preserve"> 1.951.894,22 €.</w:t>
      </w:r>
      <w:r w:rsidR="00534ECD">
        <w:rPr>
          <w:rFonts w:ascii="Calibri" w:hAnsi="Calibri"/>
          <w:b w:val="0"/>
          <w:bCs/>
          <w:sz w:val="22"/>
          <w:szCs w:val="22"/>
        </w:rPr>
        <w:t xml:space="preserve"> </w:t>
      </w:r>
      <w:r w:rsidR="00F55F71">
        <w:rPr>
          <w:rFonts w:ascii="Calibri" w:hAnsi="Calibri"/>
          <w:b w:val="0"/>
          <w:bCs/>
          <w:sz w:val="22"/>
          <w:szCs w:val="22"/>
        </w:rPr>
        <w:t>Asimismo, p</w:t>
      </w:r>
      <w:r w:rsidR="00D94E5C">
        <w:rPr>
          <w:rFonts w:ascii="Calibri" w:hAnsi="Calibri"/>
          <w:b w:val="0"/>
          <w:bCs/>
          <w:sz w:val="22"/>
          <w:szCs w:val="22"/>
        </w:rPr>
        <w:t>ara el ejercicio 2019</w:t>
      </w:r>
      <w:r w:rsidR="00534ECD" w:rsidRPr="000C4630">
        <w:rPr>
          <w:rFonts w:ascii="Calibri" w:hAnsi="Calibri"/>
          <w:b w:val="0"/>
          <w:bCs/>
          <w:sz w:val="22"/>
          <w:szCs w:val="22"/>
        </w:rPr>
        <w:t xml:space="preserve"> se</w:t>
      </w:r>
      <w:r w:rsidR="00F55F71">
        <w:rPr>
          <w:rFonts w:ascii="Calibri" w:hAnsi="Calibri"/>
          <w:b w:val="0"/>
          <w:bCs/>
          <w:sz w:val="22"/>
          <w:szCs w:val="22"/>
        </w:rPr>
        <w:t xml:space="preserve"> han </w:t>
      </w:r>
      <w:r w:rsidR="00534ECD">
        <w:rPr>
          <w:rFonts w:ascii="Calibri" w:hAnsi="Calibri"/>
          <w:b w:val="0"/>
          <w:bCs/>
          <w:sz w:val="22"/>
          <w:szCs w:val="22"/>
        </w:rPr>
        <w:t>dotado</w:t>
      </w:r>
      <w:r w:rsidR="00534ECD" w:rsidRPr="000C4630">
        <w:rPr>
          <w:rFonts w:ascii="Calibri" w:hAnsi="Calibri"/>
          <w:b w:val="0"/>
          <w:bCs/>
          <w:sz w:val="22"/>
          <w:szCs w:val="22"/>
        </w:rPr>
        <w:t xml:space="preserve"> créditos en el presupuesto de gastos para la realización de actividades concretas por parte de los Museos y Centros del </w:t>
      </w:r>
      <w:r w:rsidR="00534ECD">
        <w:rPr>
          <w:rFonts w:ascii="Calibri" w:hAnsi="Calibri"/>
          <w:b w:val="0"/>
          <w:bCs/>
          <w:sz w:val="22"/>
          <w:szCs w:val="22"/>
        </w:rPr>
        <w:t>OAMC, tanto en el Presupuesto para gastos generales como en proyectos financiados con aportaciones especí</w:t>
      </w:r>
      <w:r w:rsidR="00780C4D">
        <w:rPr>
          <w:rFonts w:ascii="Calibri" w:hAnsi="Calibri"/>
          <w:b w:val="0"/>
          <w:bCs/>
          <w:sz w:val="22"/>
          <w:szCs w:val="22"/>
        </w:rPr>
        <w:t>ficas de la Corporación Insular.</w:t>
      </w:r>
    </w:p>
    <w:p w:rsidR="00780C4D" w:rsidRDefault="00780C4D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FC0566" w:rsidRDefault="0041169A" w:rsidP="008746A8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E</w:t>
      </w:r>
      <w:r w:rsidR="008731DD" w:rsidRPr="00D64BCF">
        <w:rPr>
          <w:rFonts w:ascii="Calibri" w:hAnsi="Calibri"/>
          <w:b w:val="0"/>
          <w:bCs/>
          <w:sz w:val="22"/>
          <w:szCs w:val="22"/>
        </w:rPr>
        <w:t xml:space="preserve">n relación </w:t>
      </w:r>
      <w:r w:rsidR="00F55F71">
        <w:rPr>
          <w:rFonts w:ascii="Calibri" w:hAnsi="Calibri"/>
          <w:b w:val="0"/>
          <w:bCs/>
          <w:sz w:val="22"/>
          <w:szCs w:val="22"/>
        </w:rPr>
        <w:t xml:space="preserve">a </w:t>
      </w:r>
      <w:r w:rsidR="008731DD" w:rsidRPr="00D64BCF">
        <w:rPr>
          <w:rFonts w:ascii="Calibri" w:hAnsi="Calibri"/>
          <w:b w:val="0"/>
          <w:bCs/>
          <w:sz w:val="22"/>
          <w:szCs w:val="22"/>
        </w:rPr>
        <w:t>las</w:t>
      </w:r>
      <w:r w:rsidR="00FC0566" w:rsidRPr="00D64BCF">
        <w:rPr>
          <w:rFonts w:ascii="Calibri" w:hAnsi="Calibri"/>
          <w:b w:val="0"/>
          <w:bCs/>
          <w:sz w:val="22"/>
          <w:szCs w:val="22"/>
        </w:rPr>
        <w:t xml:space="preserve"> inversiones, </w:t>
      </w:r>
      <w:r w:rsidR="00846CBC">
        <w:rPr>
          <w:rFonts w:ascii="Calibri" w:hAnsi="Calibri"/>
          <w:b w:val="0"/>
          <w:bCs/>
          <w:sz w:val="22"/>
          <w:szCs w:val="22"/>
        </w:rPr>
        <w:t xml:space="preserve">se han </w:t>
      </w:r>
      <w:r w:rsidR="00F55F71">
        <w:rPr>
          <w:rFonts w:ascii="Calibri" w:hAnsi="Calibri"/>
          <w:b w:val="0"/>
          <w:bCs/>
          <w:sz w:val="22"/>
          <w:szCs w:val="22"/>
        </w:rPr>
        <w:t>consignado</w:t>
      </w:r>
      <w:r w:rsidR="00846CBC">
        <w:rPr>
          <w:rFonts w:ascii="Calibri" w:hAnsi="Calibri"/>
          <w:b w:val="0"/>
          <w:bCs/>
          <w:sz w:val="22"/>
          <w:szCs w:val="22"/>
        </w:rPr>
        <w:t xml:space="preserve"> créditos por importe</w:t>
      </w:r>
      <w:r w:rsidR="00232C53">
        <w:rPr>
          <w:rFonts w:ascii="Calibri" w:hAnsi="Calibri"/>
          <w:b w:val="0"/>
          <w:bCs/>
          <w:sz w:val="22"/>
          <w:szCs w:val="22"/>
        </w:rPr>
        <w:t xml:space="preserve"> </w:t>
      </w:r>
      <w:r w:rsidR="00232C53" w:rsidRPr="00D94E5C">
        <w:rPr>
          <w:rFonts w:ascii="Calibri" w:hAnsi="Calibri"/>
          <w:b w:val="0"/>
          <w:bCs/>
          <w:sz w:val="22"/>
          <w:szCs w:val="22"/>
        </w:rPr>
        <w:t xml:space="preserve">de </w:t>
      </w:r>
      <w:r w:rsidR="00D94E5C" w:rsidRPr="00D94E5C">
        <w:rPr>
          <w:rFonts w:ascii="Calibri" w:hAnsi="Calibri"/>
          <w:b w:val="0"/>
          <w:bCs/>
          <w:sz w:val="22"/>
          <w:szCs w:val="22"/>
        </w:rPr>
        <w:t>701.682</w:t>
      </w:r>
      <w:r w:rsidR="00D94E5C">
        <w:rPr>
          <w:rFonts w:ascii="Calibri" w:hAnsi="Calibri"/>
          <w:b w:val="0"/>
          <w:bCs/>
          <w:sz w:val="22"/>
          <w:szCs w:val="22"/>
        </w:rPr>
        <w:t>,</w:t>
      </w:r>
      <w:r w:rsidR="00D94E5C" w:rsidRPr="00D94E5C">
        <w:rPr>
          <w:rFonts w:ascii="Calibri" w:hAnsi="Calibri"/>
          <w:b w:val="0"/>
          <w:bCs/>
          <w:sz w:val="22"/>
          <w:szCs w:val="22"/>
        </w:rPr>
        <w:t xml:space="preserve">41 </w:t>
      </w:r>
      <w:r w:rsidR="00232C53" w:rsidRPr="00D94E5C">
        <w:rPr>
          <w:rFonts w:ascii="Calibri" w:hAnsi="Calibri"/>
          <w:b w:val="0"/>
          <w:bCs/>
          <w:sz w:val="22"/>
          <w:szCs w:val="22"/>
        </w:rPr>
        <w:t>€,</w:t>
      </w:r>
      <w:r w:rsidR="00D8724A">
        <w:rPr>
          <w:rFonts w:ascii="Calibri" w:hAnsi="Calibri"/>
          <w:b w:val="0"/>
          <w:bCs/>
          <w:sz w:val="22"/>
          <w:szCs w:val="22"/>
        </w:rPr>
        <w:t xml:space="preserve"> para llevar a cabo diversos proyectos,</w:t>
      </w:r>
      <w:r w:rsidR="00232C53" w:rsidRPr="00D94E5C">
        <w:rPr>
          <w:rFonts w:ascii="Calibri" w:hAnsi="Calibri"/>
          <w:b w:val="0"/>
          <w:bCs/>
          <w:sz w:val="22"/>
          <w:szCs w:val="22"/>
        </w:rPr>
        <w:t xml:space="preserve"> los cuales se corresponden con</w:t>
      </w:r>
      <w:r w:rsidR="00846CBC" w:rsidRPr="00D94E5C">
        <w:rPr>
          <w:rFonts w:ascii="Calibri" w:hAnsi="Calibri"/>
          <w:b w:val="0"/>
          <w:bCs/>
          <w:sz w:val="22"/>
          <w:szCs w:val="22"/>
        </w:rPr>
        <w:t xml:space="preserve"> la</w:t>
      </w:r>
      <w:r w:rsidR="000830FB" w:rsidRPr="00D94E5C">
        <w:rPr>
          <w:rFonts w:ascii="Calibri" w:hAnsi="Calibri"/>
          <w:b w:val="0"/>
          <w:bCs/>
          <w:sz w:val="22"/>
          <w:szCs w:val="22"/>
        </w:rPr>
        <w:t xml:space="preserve">s aportaciones </w:t>
      </w:r>
      <w:r w:rsidRPr="00D94E5C">
        <w:rPr>
          <w:rFonts w:ascii="Calibri" w:hAnsi="Calibri"/>
          <w:b w:val="0"/>
          <w:bCs/>
          <w:sz w:val="22"/>
          <w:szCs w:val="22"/>
        </w:rPr>
        <w:t xml:space="preserve">específicas </w:t>
      </w:r>
      <w:r w:rsidR="00846CBC" w:rsidRPr="00D94E5C">
        <w:rPr>
          <w:rFonts w:ascii="Calibri" w:hAnsi="Calibri"/>
          <w:b w:val="0"/>
          <w:bCs/>
          <w:sz w:val="22"/>
          <w:szCs w:val="22"/>
        </w:rPr>
        <w:t>de capital de</w:t>
      </w:r>
      <w:r w:rsidR="00A70FE6" w:rsidRPr="00D94E5C">
        <w:rPr>
          <w:rFonts w:ascii="Calibri" w:hAnsi="Calibri"/>
          <w:b w:val="0"/>
          <w:bCs/>
          <w:sz w:val="22"/>
          <w:szCs w:val="22"/>
        </w:rPr>
        <w:t>l</w:t>
      </w:r>
      <w:r w:rsidR="00846CBC" w:rsidRPr="00D94E5C">
        <w:rPr>
          <w:rFonts w:ascii="Calibri" w:hAnsi="Calibri"/>
          <w:b w:val="0"/>
          <w:bCs/>
          <w:sz w:val="22"/>
          <w:szCs w:val="22"/>
        </w:rPr>
        <w:t xml:space="preserve"> Cabildo </w:t>
      </w:r>
      <w:r w:rsidR="00846CBC">
        <w:rPr>
          <w:rFonts w:ascii="Calibri" w:hAnsi="Calibri"/>
          <w:b w:val="0"/>
          <w:bCs/>
          <w:sz w:val="22"/>
          <w:szCs w:val="22"/>
        </w:rPr>
        <w:t>Insular de Tenerife.</w:t>
      </w:r>
    </w:p>
    <w:p w:rsidR="00846CBC" w:rsidRPr="00D64BCF" w:rsidRDefault="00846CBC" w:rsidP="00E46834">
      <w:pPr>
        <w:pStyle w:val="Sangradetextonormal"/>
        <w:rPr>
          <w:rFonts w:ascii="Calibri" w:hAnsi="Calibri"/>
          <w:b w:val="0"/>
          <w:bCs/>
          <w:sz w:val="22"/>
          <w:szCs w:val="22"/>
        </w:rPr>
      </w:pPr>
    </w:p>
    <w:p w:rsidR="00FC0566" w:rsidRDefault="00295890" w:rsidP="00780C4D">
      <w:pPr>
        <w:pStyle w:val="Sangradetextonormal"/>
        <w:ind w:firstLine="0"/>
        <w:jc w:val="center"/>
        <w:rPr>
          <w:rFonts w:ascii="Calibri" w:hAnsi="Calibri"/>
          <w:b w:val="0"/>
          <w:bCs/>
          <w:sz w:val="22"/>
          <w:szCs w:val="22"/>
        </w:rPr>
      </w:pPr>
      <w:r w:rsidRPr="00D64BCF">
        <w:rPr>
          <w:rFonts w:ascii="Calibri" w:hAnsi="Calibri"/>
          <w:b w:val="0"/>
          <w:bCs/>
          <w:sz w:val="22"/>
          <w:szCs w:val="22"/>
        </w:rPr>
        <w:t xml:space="preserve">Santa Cruz de Tenerife, a </w:t>
      </w:r>
      <w:r w:rsidR="00D85A03">
        <w:rPr>
          <w:rFonts w:ascii="Calibri" w:hAnsi="Calibri"/>
          <w:b w:val="0"/>
          <w:bCs/>
          <w:sz w:val="22"/>
          <w:szCs w:val="22"/>
        </w:rPr>
        <w:t>1</w:t>
      </w:r>
      <w:r w:rsidR="00EA61AB">
        <w:rPr>
          <w:rFonts w:ascii="Calibri" w:hAnsi="Calibri"/>
          <w:b w:val="0"/>
          <w:bCs/>
          <w:sz w:val="22"/>
          <w:szCs w:val="22"/>
        </w:rPr>
        <w:t>5</w:t>
      </w:r>
      <w:r w:rsidR="00D85A03">
        <w:rPr>
          <w:rFonts w:ascii="Calibri" w:hAnsi="Calibri"/>
          <w:b w:val="0"/>
          <w:bCs/>
          <w:sz w:val="22"/>
          <w:szCs w:val="22"/>
        </w:rPr>
        <w:t xml:space="preserve"> de octubre de 2018</w:t>
      </w:r>
    </w:p>
    <w:p w:rsidR="00C84BC9" w:rsidRDefault="00C84BC9" w:rsidP="00780C4D">
      <w:pPr>
        <w:pStyle w:val="Sangradetextonormal"/>
        <w:ind w:firstLine="0"/>
        <w:jc w:val="left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 xml:space="preserve">        </w:t>
      </w:r>
    </w:p>
    <w:p w:rsidR="007E0E95" w:rsidRDefault="007E3D91" w:rsidP="00780C4D">
      <w:pPr>
        <w:pStyle w:val="Sangradetextonormal"/>
        <w:ind w:firstLine="0"/>
        <w:jc w:val="center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El Gerente</w:t>
      </w:r>
      <w:r w:rsidR="007E0E95" w:rsidRPr="00D64BCF">
        <w:rPr>
          <w:rFonts w:ascii="Calibri" w:hAnsi="Calibri"/>
          <w:b w:val="0"/>
          <w:bCs/>
          <w:sz w:val="22"/>
          <w:szCs w:val="22"/>
        </w:rPr>
        <w:t>,</w:t>
      </w:r>
    </w:p>
    <w:p w:rsidR="00F55F71" w:rsidRDefault="00F55F71" w:rsidP="00780C4D">
      <w:pPr>
        <w:pStyle w:val="Sangradetextonormal"/>
        <w:ind w:firstLine="0"/>
        <w:jc w:val="center"/>
        <w:rPr>
          <w:rFonts w:ascii="Calibri" w:hAnsi="Calibri"/>
          <w:b w:val="0"/>
          <w:bCs/>
          <w:sz w:val="22"/>
          <w:szCs w:val="22"/>
        </w:rPr>
      </w:pPr>
    </w:p>
    <w:p w:rsidR="00F55F71" w:rsidRDefault="00F55F71" w:rsidP="00780C4D">
      <w:pPr>
        <w:pStyle w:val="Sangradetextonormal"/>
        <w:ind w:firstLine="0"/>
        <w:jc w:val="center"/>
        <w:rPr>
          <w:rFonts w:ascii="Calibri" w:hAnsi="Calibri"/>
          <w:b w:val="0"/>
          <w:bCs/>
          <w:sz w:val="22"/>
          <w:szCs w:val="22"/>
        </w:rPr>
      </w:pPr>
    </w:p>
    <w:p w:rsidR="00F55F71" w:rsidRPr="00D64BCF" w:rsidRDefault="00F55F71" w:rsidP="00780C4D">
      <w:pPr>
        <w:pStyle w:val="Sangradetextonormal"/>
        <w:ind w:firstLine="0"/>
        <w:jc w:val="center"/>
        <w:rPr>
          <w:rFonts w:ascii="Calibri" w:hAnsi="Calibri"/>
          <w:b w:val="0"/>
          <w:bCs/>
          <w:sz w:val="22"/>
          <w:szCs w:val="22"/>
        </w:rPr>
      </w:pPr>
    </w:p>
    <w:p w:rsidR="00006591" w:rsidRPr="00D64BCF" w:rsidRDefault="00B96B74" w:rsidP="00780C4D">
      <w:pPr>
        <w:pStyle w:val="Sangradetextonormal"/>
        <w:ind w:firstLine="0"/>
        <w:jc w:val="center"/>
        <w:rPr>
          <w:rFonts w:ascii="Calibri" w:hAnsi="Calibri"/>
          <w:b w:val="0"/>
          <w:bCs/>
          <w:sz w:val="22"/>
          <w:szCs w:val="22"/>
        </w:rPr>
      </w:pPr>
      <w:r w:rsidRPr="00D64BCF">
        <w:rPr>
          <w:rFonts w:ascii="Calibri" w:hAnsi="Calibri"/>
          <w:b w:val="0"/>
          <w:bCs/>
          <w:sz w:val="22"/>
          <w:szCs w:val="22"/>
        </w:rPr>
        <w:t>Fdo.: Carlos E. González Martín</w:t>
      </w:r>
    </w:p>
    <w:sectPr w:rsidR="00006591" w:rsidRPr="00D64BCF" w:rsidSect="003E7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ED" w:rsidRDefault="00E73AED">
      <w:r>
        <w:separator/>
      </w:r>
    </w:p>
  </w:endnote>
  <w:endnote w:type="continuationSeparator" w:id="0">
    <w:p w:rsidR="00E73AED" w:rsidRDefault="00E7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D" w:rsidRPr="004B216F" w:rsidRDefault="00E73AED">
    <w:pPr>
      <w:pStyle w:val="Piedepgina"/>
      <w:jc w:val="right"/>
      <w:rPr>
        <w:rFonts w:ascii="Calibri" w:hAnsi="Calibri"/>
        <w:sz w:val="20"/>
        <w:szCs w:val="20"/>
      </w:rPr>
    </w:pPr>
  </w:p>
  <w:p w:rsidR="00E73AED" w:rsidRDefault="00E73A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19" w:rsidRDefault="001718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19" w:rsidRDefault="001718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ED" w:rsidRDefault="00E73AED">
      <w:r>
        <w:separator/>
      </w:r>
    </w:p>
  </w:footnote>
  <w:footnote w:type="continuationSeparator" w:id="0">
    <w:p w:rsidR="00E73AED" w:rsidRDefault="00E7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19" w:rsidRDefault="001718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ED" w:rsidRDefault="00E73AED" w:rsidP="004B216F">
    <w:pPr>
      <w:pStyle w:val="Encabezado"/>
      <w:tabs>
        <w:tab w:val="clear" w:pos="4252"/>
        <w:tab w:val="clear" w:pos="8504"/>
        <w:tab w:val="left" w:pos="2784"/>
      </w:tabs>
    </w:pPr>
    <w:r>
      <w:rPr>
        <w:noProof/>
      </w:rPr>
      <w:drawing>
        <wp:inline distT="0" distB="0" distL="0" distR="0">
          <wp:extent cx="1981200" cy="646430"/>
          <wp:effectExtent l="19050" t="0" r="0" b="0"/>
          <wp:docPr id="1" name="0 Imagen" descr="museos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useos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19" w:rsidRDefault="00171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775"/>
    <w:multiLevelType w:val="hybridMultilevel"/>
    <w:tmpl w:val="D7F20FC8"/>
    <w:lvl w:ilvl="0" w:tplc="9738BDD2">
      <w:start w:val="2018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3B6A5C"/>
    <w:multiLevelType w:val="hybridMultilevel"/>
    <w:tmpl w:val="3566F532"/>
    <w:lvl w:ilvl="0" w:tplc="7EA4C62C">
      <w:start w:val="2018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E9A171D"/>
    <w:multiLevelType w:val="hybridMultilevel"/>
    <w:tmpl w:val="76D64D5E"/>
    <w:lvl w:ilvl="0" w:tplc="831AEEDA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54714573"/>
    <w:multiLevelType w:val="hybridMultilevel"/>
    <w:tmpl w:val="B3B48AC2"/>
    <w:lvl w:ilvl="0" w:tplc="95661824">
      <w:start w:val="5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8402863"/>
    <w:multiLevelType w:val="hybridMultilevel"/>
    <w:tmpl w:val="CB82BE8A"/>
    <w:lvl w:ilvl="0" w:tplc="199E35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CA9505E"/>
    <w:multiLevelType w:val="hybridMultilevel"/>
    <w:tmpl w:val="C8F4B48E"/>
    <w:lvl w:ilvl="0" w:tplc="0D40CAFC">
      <w:start w:val="201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AD175C2"/>
    <w:multiLevelType w:val="hybridMultilevel"/>
    <w:tmpl w:val="E98AE874"/>
    <w:lvl w:ilvl="0" w:tplc="C6343B5E">
      <w:start w:val="3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61"/>
    <w:rsid w:val="00003406"/>
    <w:rsid w:val="00006591"/>
    <w:rsid w:val="00012E2E"/>
    <w:rsid w:val="00013176"/>
    <w:rsid w:val="00033D35"/>
    <w:rsid w:val="00034E37"/>
    <w:rsid w:val="000419AE"/>
    <w:rsid w:val="00045DAF"/>
    <w:rsid w:val="000566D7"/>
    <w:rsid w:val="00072FC5"/>
    <w:rsid w:val="000778EB"/>
    <w:rsid w:val="00080774"/>
    <w:rsid w:val="000830FB"/>
    <w:rsid w:val="00085B56"/>
    <w:rsid w:val="00090C82"/>
    <w:rsid w:val="0009273C"/>
    <w:rsid w:val="00094479"/>
    <w:rsid w:val="000A1DA3"/>
    <w:rsid w:val="000B0F36"/>
    <w:rsid w:val="000C35C3"/>
    <w:rsid w:val="000C4630"/>
    <w:rsid w:val="000D264D"/>
    <w:rsid w:val="000F12A5"/>
    <w:rsid w:val="0010121D"/>
    <w:rsid w:val="00117B9A"/>
    <w:rsid w:val="0012205B"/>
    <w:rsid w:val="001305FF"/>
    <w:rsid w:val="00132B1C"/>
    <w:rsid w:val="00135A93"/>
    <w:rsid w:val="00141269"/>
    <w:rsid w:val="00141308"/>
    <w:rsid w:val="001620C8"/>
    <w:rsid w:val="001710FA"/>
    <w:rsid w:val="00171819"/>
    <w:rsid w:val="00176CA8"/>
    <w:rsid w:val="00191F0F"/>
    <w:rsid w:val="001A06E4"/>
    <w:rsid w:val="001A3428"/>
    <w:rsid w:val="001A3F31"/>
    <w:rsid w:val="001A5940"/>
    <w:rsid w:val="001B02BB"/>
    <w:rsid w:val="001D149B"/>
    <w:rsid w:val="001D1F07"/>
    <w:rsid w:val="001E5304"/>
    <w:rsid w:val="001F0244"/>
    <w:rsid w:val="00217587"/>
    <w:rsid w:val="00232C53"/>
    <w:rsid w:val="00241942"/>
    <w:rsid w:val="00241A03"/>
    <w:rsid w:val="00252E48"/>
    <w:rsid w:val="0026226D"/>
    <w:rsid w:val="00262CB4"/>
    <w:rsid w:val="0026620E"/>
    <w:rsid w:val="00271362"/>
    <w:rsid w:val="00272556"/>
    <w:rsid w:val="002751CC"/>
    <w:rsid w:val="00275443"/>
    <w:rsid w:val="002835A8"/>
    <w:rsid w:val="00284E28"/>
    <w:rsid w:val="00287A57"/>
    <w:rsid w:val="00294532"/>
    <w:rsid w:val="00295890"/>
    <w:rsid w:val="002A2645"/>
    <w:rsid w:val="002A49CF"/>
    <w:rsid w:val="002A6AD8"/>
    <w:rsid w:val="002C6445"/>
    <w:rsid w:val="002D1C10"/>
    <w:rsid w:val="002D4FB6"/>
    <w:rsid w:val="002E415B"/>
    <w:rsid w:val="002F3EC4"/>
    <w:rsid w:val="002F5379"/>
    <w:rsid w:val="00303872"/>
    <w:rsid w:val="00321166"/>
    <w:rsid w:val="003225C9"/>
    <w:rsid w:val="00322DFE"/>
    <w:rsid w:val="003300EF"/>
    <w:rsid w:val="00333A2D"/>
    <w:rsid w:val="0033510E"/>
    <w:rsid w:val="0033618D"/>
    <w:rsid w:val="003361D6"/>
    <w:rsid w:val="00363451"/>
    <w:rsid w:val="00364ACF"/>
    <w:rsid w:val="0036502F"/>
    <w:rsid w:val="0038711E"/>
    <w:rsid w:val="003872C0"/>
    <w:rsid w:val="003A1DA4"/>
    <w:rsid w:val="003A2CD7"/>
    <w:rsid w:val="003B1B84"/>
    <w:rsid w:val="003B6A10"/>
    <w:rsid w:val="003C2D03"/>
    <w:rsid w:val="003C6C9C"/>
    <w:rsid w:val="003D2DE3"/>
    <w:rsid w:val="003E5BA9"/>
    <w:rsid w:val="003E75D6"/>
    <w:rsid w:val="003F18B6"/>
    <w:rsid w:val="003F23C4"/>
    <w:rsid w:val="00400E7A"/>
    <w:rsid w:val="00406EE6"/>
    <w:rsid w:val="0041130B"/>
    <w:rsid w:val="0041169A"/>
    <w:rsid w:val="00414A81"/>
    <w:rsid w:val="004216C8"/>
    <w:rsid w:val="004219B8"/>
    <w:rsid w:val="00427F76"/>
    <w:rsid w:val="00434A79"/>
    <w:rsid w:val="0043699C"/>
    <w:rsid w:val="00436B7E"/>
    <w:rsid w:val="004378D0"/>
    <w:rsid w:val="00445412"/>
    <w:rsid w:val="00450E41"/>
    <w:rsid w:val="00450F31"/>
    <w:rsid w:val="00453221"/>
    <w:rsid w:val="00475593"/>
    <w:rsid w:val="00476378"/>
    <w:rsid w:val="004A4368"/>
    <w:rsid w:val="004B216F"/>
    <w:rsid w:val="004D1231"/>
    <w:rsid w:val="004D2DD3"/>
    <w:rsid w:val="004D3723"/>
    <w:rsid w:val="004E0F85"/>
    <w:rsid w:val="004E2DA0"/>
    <w:rsid w:val="004E6DD1"/>
    <w:rsid w:val="004F5054"/>
    <w:rsid w:val="00513C53"/>
    <w:rsid w:val="00522937"/>
    <w:rsid w:val="0052334A"/>
    <w:rsid w:val="00526846"/>
    <w:rsid w:val="00534ECD"/>
    <w:rsid w:val="00540432"/>
    <w:rsid w:val="00540FD3"/>
    <w:rsid w:val="00543B3E"/>
    <w:rsid w:val="0054518E"/>
    <w:rsid w:val="0055419C"/>
    <w:rsid w:val="005578B2"/>
    <w:rsid w:val="00561086"/>
    <w:rsid w:val="00562A19"/>
    <w:rsid w:val="00585038"/>
    <w:rsid w:val="00590AC0"/>
    <w:rsid w:val="00597401"/>
    <w:rsid w:val="005A3E88"/>
    <w:rsid w:val="005B377F"/>
    <w:rsid w:val="005B5DD1"/>
    <w:rsid w:val="005C493D"/>
    <w:rsid w:val="005D1D78"/>
    <w:rsid w:val="005D1FF5"/>
    <w:rsid w:val="005D2C75"/>
    <w:rsid w:val="005E0DA4"/>
    <w:rsid w:val="005F0461"/>
    <w:rsid w:val="005F3FBC"/>
    <w:rsid w:val="005F55BA"/>
    <w:rsid w:val="005F6E16"/>
    <w:rsid w:val="006131ED"/>
    <w:rsid w:val="00615864"/>
    <w:rsid w:val="00636D59"/>
    <w:rsid w:val="00642C89"/>
    <w:rsid w:val="00646DEF"/>
    <w:rsid w:val="00656D55"/>
    <w:rsid w:val="00660F24"/>
    <w:rsid w:val="00665E26"/>
    <w:rsid w:val="006740B4"/>
    <w:rsid w:val="006804F7"/>
    <w:rsid w:val="00682155"/>
    <w:rsid w:val="00684486"/>
    <w:rsid w:val="00692D38"/>
    <w:rsid w:val="00693E46"/>
    <w:rsid w:val="00695977"/>
    <w:rsid w:val="006B2406"/>
    <w:rsid w:val="006B5712"/>
    <w:rsid w:val="006C113C"/>
    <w:rsid w:val="006D544E"/>
    <w:rsid w:val="006E03BB"/>
    <w:rsid w:val="006E389B"/>
    <w:rsid w:val="006E3FC7"/>
    <w:rsid w:val="006F1E20"/>
    <w:rsid w:val="006F434C"/>
    <w:rsid w:val="00703774"/>
    <w:rsid w:val="00710308"/>
    <w:rsid w:val="00714CF1"/>
    <w:rsid w:val="007162CB"/>
    <w:rsid w:val="00716823"/>
    <w:rsid w:val="007275CA"/>
    <w:rsid w:val="00737A22"/>
    <w:rsid w:val="00740D9C"/>
    <w:rsid w:val="007465DF"/>
    <w:rsid w:val="00750979"/>
    <w:rsid w:val="00763950"/>
    <w:rsid w:val="0077294C"/>
    <w:rsid w:val="007736BE"/>
    <w:rsid w:val="007804F7"/>
    <w:rsid w:val="00780C4D"/>
    <w:rsid w:val="00780E45"/>
    <w:rsid w:val="007850E4"/>
    <w:rsid w:val="00794967"/>
    <w:rsid w:val="00794BFF"/>
    <w:rsid w:val="007970A3"/>
    <w:rsid w:val="00797B50"/>
    <w:rsid w:val="007B5007"/>
    <w:rsid w:val="007D0B3F"/>
    <w:rsid w:val="007D662F"/>
    <w:rsid w:val="007E013F"/>
    <w:rsid w:val="007E0E95"/>
    <w:rsid w:val="007E3D91"/>
    <w:rsid w:val="007E7CD2"/>
    <w:rsid w:val="007F3579"/>
    <w:rsid w:val="00802781"/>
    <w:rsid w:val="00810471"/>
    <w:rsid w:val="00813EF1"/>
    <w:rsid w:val="00815336"/>
    <w:rsid w:val="00826A87"/>
    <w:rsid w:val="008314CC"/>
    <w:rsid w:val="0083720B"/>
    <w:rsid w:val="00840604"/>
    <w:rsid w:val="008425BB"/>
    <w:rsid w:val="00843F0D"/>
    <w:rsid w:val="00846CBC"/>
    <w:rsid w:val="00847AC2"/>
    <w:rsid w:val="008537CF"/>
    <w:rsid w:val="00861A87"/>
    <w:rsid w:val="0086286B"/>
    <w:rsid w:val="00864AA3"/>
    <w:rsid w:val="0086551C"/>
    <w:rsid w:val="00871AAF"/>
    <w:rsid w:val="00872AA8"/>
    <w:rsid w:val="008731DD"/>
    <w:rsid w:val="008746A8"/>
    <w:rsid w:val="00875146"/>
    <w:rsid w:val="00880975"/>
    <w:rsid w:val="008A02DA"/>
    <w:rsid w:val="008A7B70"/>
    <w:rsid w:val="008C369F"/>
    <w:rsid w:val="008C3BD6"/>
    <w:rsid w:val="008D7660"/>
    <w:rsid w:val="008E1CA0"/>
    <w:rsid w:val="008F07D2"/>
    <w:rsid w:val="0090122D"/>
    <w:rsid w:val="00901D96"/>
    <w:rsid w:val="0090531E"/>
    <w:rsid w:val="00922489"/>
    <w:rsid w:val="00927155"/>
    <w:rsid w:val="00933FFA"/>
    <w:rsid w:val="00946719"/>
    <w:rsid w:val="009600B9"/>
    <w:rsid w:val="00970BEA"/>
    <w:rsid w:val="00976CF9"/>
    <w:rsid w:val="00994DCA"/>
    <w:rsid w:val="009970EB"/>
    <w:rsid w:val="009A25D1"/>
    <w:rsid w:val="009B7E8F"/>
    <w:rsid w:val="009D6ADD"/>
    <w:rsid w:val="009F02D1"/>
    <w:rsid w:val="009F0C78"/>
    <w:rsid w:val="00A03A5C"/>
    <w:rsid w:val="00A03B66"/>
    <w:rsid w:val="00A0520A"/>
    <w:rsid w:val="00A10709"/>
    <w:rsid w:val="00A13593"/>
    <w:rsid w:val="00A234B5"/>
    <w:rsid w:val="00A4080A"/>
    <w:rsid w:val="00A42300"/>
    <w:rsid w:val="00A43F45"/>
    <w:rsid w:val="00A440D6"/>
    <w:rsid w:val="00A57072"/>
    <w:rsid w:val="00A6174E"/>
    <w:rsid w:val="00A70175"/>
    <w:rsid w:val="00A7025E"/>
    <w:rsid w:val="00A70FE6"/>
    <w:rsid w:val="00A84039"/>
    <w:rsid w:val="00AA41D8"/>
    <w:rsid w:val="00AB4617"/>
    <w:rsid w:val="00AC153E"/>
    <w:rsid w:val="00AD5D45"/>
    <w:rsid w:val="00AE18DA"/>
    <w:rsid w:val="00AE1D98"/>
    <w:rsid w:val="00AE2FB1"/>
    <w:rsid w:val="00AE6D16"/>
    <w:rsid w:val="00AF0E41"/>
    <w:rsid w:val="00AF4B8B"/>
    <w:rsid w:val="00B01BE6"/>
    <w:rsid w:val="00B045F3"/>
    <w:rsid w:val="00B26248"/>
    <w:rsid w:val="00B31428"/>
    <w:rsid w:val="00B36479"/>
    <w:rsid w:val="00B40788"/>
    <w:rsid w:val="00B54817"/>
    <w:rsid w:val="00B576E3"/>
    <w:rsid w:val="00B6469A"/>
    <w:rsid w:val="00B72140"/>
    <w:rsid w:val="00B77B5A"/>
    <w:rsid w:val="00B81F65"/>
    <w:rsid w:val="00B8318C"/>
    <w:rsid w:val="00B83973"/>
    <w:rsid w:val="00B85400"/>
    <w:rsid w:val="00B9436C"/>
    <w:rsid w:val="00B96B74"/>
    <w:rsid w:val="00BA5BE9"/>
    <w:rsid w:val="00BB20C8"/>
    <w:rsid w:val="00BB3195"/>
    <w:rsid w:val="00BB5CBF"/>
    <w:rsid w:val="00BB7D69"/>
    <w:rsid w:val="00BC06F1"/>
    <w:rsid w:val="00BC5737"/>
    <w:rsid w:val="00BD08A4"/>
    <w:rsid w:val="00BD35F8"/>
    <w:rsid w:val="00BE7923"/>
    <w:rsid w:val="00BF4B61"/>
    <w:rsid w:val="00C03B7F"/>
    <w:rsid w:val="00C12FDD"/>
    <w:rsid w:val="00C13A5C"/>
    <w:rsid w:val="00C14335"/>
    <w:rsid w:val="00C20A16"/>
    <w:rsid w:val="00C31055"/>
    <w:rsid w:val="00C460E0"/>
    <w:rsid w:val="00C463E8"/>
    <w:rsid w:val="00C473FE"/>
    <w:rsid w:val="00C50A49"/>
    <w:rsid w:val="00C571E2"/>
    <w:rsid w:val="00C603D9"/>
    <w:rsid w:val="00C60558"/>
    <w:rsid w:val="00C63919"/>
    <w:rsid w:val="00C826D8"/>
    <w:rsid w:val="00C84BC9"/>
    <w:rsid w:val="00C85497"/>
    <w:rsid w:val="00C90644"/>
    <w:rsid w:val="00C96E22"/>
    <w:rsid w:val="00CB5261"/>
    <w:rsid w:val="00CB6AED"/>
    <w:rsid w:val="00CC0C36"/>
    <w:rsid w:val="00CD1339"/>
    <w:rsid w:val="00CD7F8E"/>
    <w:rsid w:val="00CF5E14"/>
    <w:rsid w:val="00D14CA8"/>
    <w:rsid w:val="00D153D6"/>
    <w:rsid w:val="00D21369"/>
    <w:rsid w:val="00D333F5"/>
    <w:rsid w:val="00D364E4"/>
    <w:rsid w:val="00D64BCF"/>
    <w:rsid w:val="00D70283"/>
    <w:rsid w:val="00D70D25"/>
    <w:rsid w:val="00D72844"/>
    <w:rsid w:val="00D856FB"/>
    <w:rsid w:val="00D85A03"/>
    <w:rsid w:val="00D8724A"/>
    <w:rsid w:val="00D94E5C"/>
    <w:rsid w:val="00D95368"/>
    <w:rsid w:val="00DA564E"/>
    <w:rsid w:val="00DA6F9D"/>
    <w:rsid w:val="00DA7E34"/>
    <w:rsid w:val="00DB6BF0"/>
    <w:rsid w:val="00DC40A5"/>
    <w:rsid w:val="00DC5558"/>
    <w:rsid w:val="00DD3A94"/>
    <w:rsid w:val="00DD6F4E"/>
    <w:rsid w:val="00DD7619"/>
    <w:rsid w:val="00DE2A4C"/>
    <w:rsid w:val="00DE4C1C"/>
    <w:rsid w:val="00DE75F7"/>
    <w:rsid w:val="00DF4AE1"/>
    <w:rsid w:val="00E01267"/>
    <w:rsid w:val="00E136D9"/>
    <w:rsid w:val="00E15B5B"/>
    <w:rsid w:val="00E30235"/>
    <w:rsid w:val="00E409C3"/>
    <w:rsid w:val="00E42C0E"/>
    <w:rsid w:val="00E46834"/>
    <w:rsid w:val="00E60E09"/>
    <w:rsid w:val="00E6597B"/>
    <w:rsid w:val="00E677CD"/>
    <w:rsid w:val="00E73AED"/>
    <w:rsid w:val="00E76995"/>
    <w:rsid w:val="00E7758E"/>
    <w:rsid w:val="00E912EA"/>
    <w:rsid w:val="00E913ED"/>
    <w:rsid w:val="00E93CFD"/>
    <w:rsid w:val="00EA61AB"/>
    <w:rsid w:val="00EA7560"/>
    <w:rsid w:val="00EC6441"/>
    <w:rsid w:val="00EC7C27"/>
    <w:rsid w:val="00ED29F3"/>
    <w:rsid w:val="00ED2AF2"/>
    <w:rsid w:val="00ED5DC8"/>
    <w:rsid w:val="00EE3765"/>
    <w:rsid w:val="00EE5B96"/>
    <w:rsid w:val="00F154BF"/>
    <w:rsid w:val="00F26D60"/>
    <w:rsid w:val="00F27D98"/>
    <w:rsid w:val="00F37528"/>
    <w:rsid w:val="00F43265"/>
    <w:rsid w:val="00F543BB"/>
    <w:rsid w:val="00F55F71"/>
    <w:rsid w:val="00F7148F"/>
    <w:rsid w:val="00F737AD"/>
    <w:rsid w:val="00F73C9C"/>
    <w:rsid w:val="00F73DD3"/>
    <w:rsid w:val="00F824A1"/>
    <w:rsid w:val="00FA351B"/>
    <w:rsid w:val="00FC0566"/>
    <w:rsid w:val="00FC754F"/>
    <w:rsid w:val="00FD42E5"/>
    <w:rsid w:val="00FE2D19"/>
    <w:rsid w:val="00FE548A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86"/>
    <w:rPr>
      <w:rFonts w:ascii="Bookman Old Style" w:hAnsi="Bookman Old Style"/>
      <w:bCs/>
      <w:sz w:val="24"/>
      <w:szCs w:val="24"/>
    </w:rPr>
  </w:style>
  <w:style w:type="paragraph" w:styleId="Ttulo2">
    <w:name w:val="heading 2"/>
    <w:basedOn w:val="Normal"/>
    <w:next w:val="Normal"/>
    <w:qFormat/>
    <w:rsid w:val="00561086"/>
    <w:pPr>
      <w:keepNext/>
      <w:pBdr>
        <w:top w:val="double" w:sz="4" w:space="1" w:color="auto"/>
        <w:bottom w:val="double" w:sz="4" w:space="1" w:color="auto"/>
      </w:pBdr>
      <w:shd w:val="clear" w:color="auto" w:fill="E6E6E6"/>
      <w:jc w:val="center"/>
      <w:outlineLvl w:val="1"/>
    </w:pPr>
    <w:rPr>
      <w:b/>
      <w:bCs w:val="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61086"/>
    <w:pPr>
      <w:ind w:firstLine="540"/>
      <w:jc w:val="both"/>
    </w:pPr>
    <w:rPr>
      <w:b/>
      <w:bCs w:val="0"/>
      <w:lang w:val="es-ES_tradnl"/>
    </w:rPr>
  </w:style>
  <w:style w:type="paragraph" w:styleId="Sangra2detindependiente">
    <w:name w:val="Body Text Indent 2"/>
    <w:basedOn w:val="Normal"/>
    <w:rsid w:val="00561086"/>
    <w:pPr>
      <w:ind w:firstLine="540"/>
      <w:jc w:val="both"/>
    </w:pPr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5610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1086"/>
  </w:style>
  <w:style w:type="paragraph" w:styleId="Encabezado">
    <w:name w:val="header"/>
    <w:basedOn w:val="Normal"/>
    <w:rsid w:val="005610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F53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4E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4E37"/>
    <w:rPr>
      <w:rFonts w:ascii="Tahoma" w:hAnsi="Tahoma" w:cs="Tahoma"/>
      <w:bCs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D3A94"/>
    <w:rPr>
      <w:rFonts w:ascii="Bookman Old Style" w:hAnsi="Bookman Old Style"/>
      <w:b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69A"/>
    <w:rPr>
      <w:rFonts w:ascii="Bookman Old Style" w:hAnsi="Bookman Old Style"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E30235"/>
    <w:pPr>
      <w:ind w:left="708"/>
    </w:pPr>
  </w:style>
  <w:style w:type="paragraph" w:styleId="Sangra3detindependiente">
    <w:name w:val="Body Text Indent 3"/>
    <w:basedOn w:val="Normal"/>
    <w:link w:val="Sangra3detindependienteCar"/>
    <w:rsid w:val="003C2D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2D03"/>
    <w:rPr>
      <w:rFonts w:ascii="Bookman Old Style" w:hAnsi="Bookman Old Style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2018-10-19T08:06:00Z</dcterms:created>
  <dcterms:modified xsi:type="dcterms:W3CDTF">2018-10-19T08:06:00Z</dcterms:modified>
</cp:coreProperties>
</file>