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5A" w:rsidRDefault="00D4245A" w:rsidP="003D1DCE">
      <w:pPr>
        <w:jc w:val="both"/>
        <w:rPr>
          <w:rFonts w:ascii="Arial" w:hAnsi="Arial" w:cs="Arial"/>
          <w:sz w:val="22"/>
          <w:szCs w:val="22"/>
        </w:rPr>
      </w:pPr>
    </w:p>
    <w:p w:rsidR="00D4245A" w:rsidRDefault="00D4245A" w:rsidP="003D1DCE">
      <w:pPr>
        <w:jc w:val="both"/>
        <w:rPr>
          <w:rFonts w:ascii="Arial" w:hAnsi="Arial" w:cs="Arial"/>
          <w:sz w:val="22"/>
          <w:szCs w:val="22"/>
        </w:rPr>
      </w:pPr>
    </w:p>
    <w:p w:rsidR="00D4245A" w:rsidRPr="0009648D" w:rsidRDefault="00D4245A" w:rsidP="0009648D">
      <w:pPr>
        <w:jc w:val="center"/>
        <w:rPr>
          <w:rFonts w:ascii="Arial" w:hAnsi="Arial" w:cs="Arial"/>
          <w:b/>
          <w:bCs/>
          <w:sz w:val="22"/>
          <w:szCs w:val="22"/>
        </w:rPr>
      </w:pPr>
      <w:r w:rsidRPr="0009648D">
        <w:rPr>
          <w:rFonts w:ascii="Arial" w:hAnsi="Arial" w:cs="Arial"/>
          <w:b/>
          <w:bCs/>
          <w:sz w:val="22"/>
          <w:szCs w:val="22"/>
        </w:rPr>
        <w:t>ANEXO XVI</w:t>
      </w:r>
    </w:p>
    <w:p w:rsidR="00D4245A" w:rsidRPr="0009648D" w:rsidRDefault="00D4245A" w:rsidP="0009648D">
      <w:pPr>
        <w:jc w:val="center"/>
        <w:rPr>
          <w:rFonts w:ascii="Arial" w:hAnsi="Arial" w:cs="Arial"/>
          <w:b/>
          <w:bCs/>
          <w:sz w:val="22"/>
          <w:szCs w:val="22"/>
        </w:rPr>
      </w:pPr>
    </w:p>
    <w:p w:rsidR="00D4245A" w:rsidRPr="0009648D" w:rsidRDefault="00D4245A" w:rsidP="00C83131">
      <w:pPr>
        <w:jc w:val="both"/>
        <w:rPr>
          <w:rFonts w:ascii="Arial" w:hAnsi="Arial" w:cs="Arial"/>
          <w:b/>
          <w:bCs/>
          <w:sz w:val="22"/>
          <w:szCs w:val="22"/>
        </w:rPr>
      </w:pPr>
      <w:r w:rsidRPr="0009648D">
        <w:rPr>
          <w:rFonts w:ascii="Arial" w:hAnsi="Arial" w:cs="Arial"/>
          <w:b/>
          <w:bCs/>
          <w:sz w:val="22"/>
          <w:szCs w:val="22"/>
        </w:rPr>
        <w:t>RESOLUCION DEL SR. CONSEJERO INSULAR DEL AREA DE PRESIDENCIA Y HACIENDA RELATIVA AL PROCEDIMIENTO DE REINTEGRO DE LAS SUBVENCIONES OTORGADAS POR EL EXCMO. CABILDO INSULAR DE TENERIFE</w:t>
      </w:r>
    </w:p>
    <w:p w:rsidR="00D4245A" w:rsidRPr="00CF3A34" w:rsidRDefault="00D4245A" w:rsidP="003D1DCE">
      <w:pPr>
        <w:jc w:val="both"/>
        <w:rPr>
          <w:rFonts w:ascii="Arial" w:hAnsi="Arial" w:cs="Arial"/>
          <w:sz w:val="22"/>
          <w:szCs w:val="22"/>
        </w:rPr>
      </w:pPr>
    </w:p>
    <w:p w:rsidR="00D4245A" w:rsidRPr="00CF3A34" w:rsidRDefault="00D4245A" w:rsidP="003D1DCE">
      <w:pPr>
        <w:jc w:val="both"/>
        <w:rPr>
          <w:rFonts w:ascii="Arial" w:hAnsi="Arial" w:cs="Arial"/>
          <w:sz w:val="22"/>
          <w:szCs w:val="22"/>
        </w:rPr>
      </w:pPr>
      <w:r w:rsidRPr="00CF3A34">
        <w:rPr>
          <w:rFonts w:ascii="Arial" w:hAnsi="Arial" w:cs="Arial"/>
          <w:sz w:val="22"/>
          <w:szCs w:val="22"/>
        </w:rPr>
        <w:t>Dentro del marco de simplificación y racionalización del procedimiento de subvención del Cabildo Insular de Tenerife, por la presente RESUELVO:</w:t>
      </w:r>
    </w:p>
    <w:p w:rsidR="00D4245A" w:rsidRPr="00CF3A34" w:rsidRDefault="00D4245A" w:rsidP="003D1DCE">
      <w:pPr>
        <w:jc w:val="both"/>
        <w:rPr>
          <w:rFonts w:ascii="Arial" w:hAnsi="Arial" w:cs="Arial"/>
          <w:sz w:val="22"/>
          <w:szCs w:val="22"/>
        </w:rPr>
      </w:pPr>
    </w:p>
    <w:p w:rsidR="00D4245A" w:rsidRPr="00CF3A34" w:rsidRDefault="00D4245A" w:rsidP="003D1DCE">
      <w:pPr>
        <w:jc w:val="both"/>
        <w:rPr>
          <w:rFonts w:ascii="Arial" w:hAnsi="Arial" w:cs="Arial"/>
          <w:sz w:val="22"/>
          <w:szCs w:val="22"/>
        </w:rPr>
      </w:pPr>
      <w:r w:rsidRPr="00CF3A34">
        <w:rPr>
          <w:rFonts w:ascii="Arial" w:hAnsi="Arial" w:cs="Arial"/>
          <w:sz w:val="22"/>
          <w:szCs w:val="22"/>
        </w:rPr>
        <w:tab/>
        <w:t>Aprobar el procedimiento, de reintegro  de las subvenciones, otorgadas por el Cabildo Insular de Tenerife:</w:t>
      </w:r>
    </w:p>
    <w:p w:rsidR="00D4245A" w:rsidRPr="00CF3A34" w:rsidRDefault="00D4245A" w:rsidP="003D1DCE">
      <w:pPr>
        <w:jc w:val="both"/>
        <w:rPr>
          <w:rFonts w:ascii="Arial" w:hAnsi="Arial" w:cs="Arial"/>
          <w:sz w:val="22"/>
          <w:szCs w:val="22"/>
        </w:rPr>
      </w:pPr>
    </w:p>
    <w:p w:rsidR="00D4245A" w:rsidRPr="00CF3A34" w:rsidRDefault="00D4245A" w:rsidP="003D1DCE">
      <w:pPr>
        <w:jc w:val="both"/>
        <w:rPr>
          <w:rFonts w:ascii="Arial" w:hAnsi="Arial" w:cs="Arial"/>
          <w:sz w:val="22"/>
          <w:szCs w:val="22"/>
        </w:rPr>
      </w:pPr>
      <w:r w:rsidRPr="00CF3A34">
        <w:rPr>
          <w:rFonts w:ascii="Arial" w:hAnsi="Arial" w:cs="Arial"/>
          <w:sz w:val="22"/>
          <w:szCs w:val="22"/>
        </w:rPr>
        <w:tab/>
        <w:t>“Procederá el reintegro de las subvenciones otorgadas  por el Cabildo Insular de Tenerife en lo supuestos contemplados  en la ley 38/2003, de 17 de noviembre, General de Subvenciones.</w:t>
      </w:r>
    </w:p>
    <w:p w:rsidR="00D4245A" w:rsidRPr="00CF3A34" w:rsidRDefault="00D4245A" w:rsidP="003D1DCE">
      <w:pPr>
        <w:jc w:val="both"/>
        <w:rPr>
          <w:rFonts w:ascii="Arial" w:hAnsi="Arial" w:cs="Arial"/>
          <w:sz w:val="22"/>
          <w:szCs w:val="22"/>
        </w:rPr>
      </w:pPr>
    </w:p>
    <w:p w:rsidR="00D4245A" w:rsidRPr="00CF3A34" w:rsidRDefault="00D4245A" w:rsidP="003D1DCE">
      <w:pPr>
        <w:jc w:val="both"/>
        <w:rPr>
          <w:rFonts w:ascii="Arial" w:hAnsi="Arial" w:cs="Arial"/>
          <w:sz w:val="22"/>
          <w:szCs w:val="22"/>
        </w:rPr>
      </w:pPr>
      <w:r w:rsidRPr="00CF3A34">
        <w:rPr>
          <w:rFonts w:ascii="Arial" w:hAnsi="Arial" w:cs="Arial"/>
          <w:sz w:val="22"/>
          <w:szCs w:val="22"/>
        </w:rPr>
        <w:tab/>
        <w:t>El procedimiento de reintegro de subvenciones se iniciará de oficio por acuerdo del órgano competente, bien por propia iniciativa, bien como consecuencia de orden superior, a petición razonada de otros órganos o por denuncia. También se iniciará a consecuencia del informe de control financiero emitido por la Intervención General del Cabildo Insular de Tenerife.</w:t>
      </w:r>
    </w:p>
    <w:p w:rsidR="00D4245A" w:rsidRPr="00CF3A34" w:rsidRDefault="00D4245A" w:rsidP="003D1DCE">
      <w:pPr>
        <w:jc w:val="both"/>
        <w:rPr>
          <w:rFonts w:ascii="Arial" w:hAnsi="Arial" w:cs="Arial"/>
          <w:sz w:val="22"/>
          <w:szCs w:val="22"/>
        </w:rPr>
      </w:pPr>
    </w:p>
    <w:p w:rsidR="00D4245A" w:rsidRPr="00CF3A34" w:rsidRDefault="00D4245A" w:rsidP="003D1DCE">
      <w:pPr>
        <w:jc w:val="both"/>
        <w:rPr>
          <w:rFonts w:ascii="Arial" w:hAnsi="Arial" w:cs="Arial"/>
          <w:sz w:val="22"/>
          <w:szCs w:val="22"/>
        </w:rPr>
      </w:pPr>
      <w:r w:rsidRPr="00CF3A34">
        <w:rPr>
          <w:rFonts w:ascii="Arial" w:hAnsi="Arial" w:cs="Arial"/>
          <w:sz w:val="22"/>
          <w:szCs w:val="22"/>
        </w:rPr>
        <w:tab/>
        <w:t>El órgano concedente será el competente para la iniciación y resolución del expediente de reintegro.</w:t>
      </w:r>
    </w:p>
    <w:p w:rsidR="00D4245A" w:rsidRPr="00CF3A34" w:rsidRDefault="00D4245A" w:rsidP="003D1DCE">
      <w:pPr>
        <w:jc w:val="both"/>
        <w:rPr>
          <w:rFonts w:ascii="Arial" w:hAnsi="Arial" w:cs="Arial"/>
          <w:sz w:val="22"/>
          <w:szCs w:val="22"/>
        </w:rPr>
      </w:pPr>
    </w:p>
    <w:p w:rsidR="00D4245A" w:rsidRPr="00CF3A34" w:rsidRDefault="00D4245A" w:rsidP="003D1DCE">
      <w:pPr>
        <w:jc w:val="both"/>
        <w:rPr>
          <w:rFonts w:ascii="Arial" w:hAnsi="Arial" w:cs="Arial"/>
          <w:sz w:val="22"/>
          <w:szCs w:val="22"/>
        </w:rPr>
      </w:pPr>
      <w:r w:rsidRPr="00CF3A34">
        <w:rPr>
          <w:rFonts w:ascii="Arial" w:hAnsi="Arial" w:cs="Arial"/>
          <w:sz w:val="22"/>
          <w:szCs w:val="22"/>
        </w:rPr>
        <w:t xml:space="preserve"> </w:t>
      </w:r>
    </w:p>
    <w:p w:rsidR="00D4245A" w:rsidRPr="00CF3A34" w:rsidRDefault="00D4245A" w:rsidP="003D1DCE">
      <w:pPr>
        <w:jc w:val="center"/>
        <w:rPr>
          <w:rFonts w:ascii="Arial" w:hAnsi="Arial" w:cs="Arial"/>
          <w:b/>
          <w:bCs/>
          <w:sz w:val="22"/>
          <w:szCs w:val="22"/>
          <w:u w:val="single"/>
        </w:rPr>
      </w:pPr>
      <w:r w:rsidRPr="00CF3A34">
        <w:rPr>
          <w:rFonts w:ascii="Arial" w:hAnsi="Arial" w:cs="Arial"/>
          <w:b/>
          <w:bCs/>
          <w:sz w:val="22"/>
          <w:szCs w:val="22"/>
          <w:u w:val="single"/>
        </w:rPr>
        <w:t>PROCEDIMIENTO</w:t>
      </w:r>
    </w:p>
    <w:p w:rsidR="00D4245A" w:rsidRPr="00CF3A34" w:rsidRDefault="00D4245A" w:rsidP="003D1DCE">
      <w:pPr>
        <w:jc w:val="both"/>
        <w:rPr>
          <w:rFonts w:ascii="Arial" w:hAnsi="Arial" w:cs="Arial"/>
          <w:b/>
          <w:bCs/>
          <w:sz w:val="22"/>
          <w:szCs w:val="22"/>
          <w:u w:val="single"/>
        </w:rPr>
      </w:pPr>
    </w:p>
    <w:p w:rsidR="00D4245A" w:rsidRPr="00CF3A34" w:rsidRDefault="00D4245A" w:rsidP="003D1DCE">
      <w:pPr>
        <w:jc w:val="both"/>
        <w:rPr>
          <w:rFonts w:ascii="Arial" w:hAnsi="Arial" w:cs="Arial"/>
          <w:b/>
          <w:bCs/>
          <w:sz w:val="22"/>
          <w:szCs w:val="22"/>
        </w:rPr>
      </w:pPr>
    </w:p>
    <w:p w:rsidR="00D4245A" w:rsidRPr="00CF3A34" w:rsidRDefault="00D4245A" w:rsidP="003D1DCE">
      <w:pPr>
        <w:jc w:val="both"/>
        <w:rPr>
          <w:rFonts w:ascii="Arial" w:hAnsi="Arial" w:cs="Arial"/>
          <w:sz w:val="22"/>
          <w:szCs w:val="22"/>
        </w:rPr>
      </w:pPr>
      <w:r w:rsidRPr="00CF3A34">
        <w:rPr>
          <w:rFonts w:ascii="Arial" w:hAnsi="Arial" w:cs="Arial"/>
          <w:b/>
          <w:bCs/>
          <w:sz w:val="22"/>
          <w:szCs w:val="22"/>
        </w:rPr>
        <w:tab/>
        <w:t xml:space="preserve">PRIMERO.- </w:t>
      </w:r>
      <w:r w:rsidRPr="00CF3A34">
        <w:rPr>
          <w:rFonts w:ascii="Arial" w:hAnsi="Arial" w:cs="Arial"/>
          <w:sz w:val="22"/>
          <w:szCs w:val="22"/>
        </w:rPr>
        <w:t>El Servicio Gestor, elevará  informe de iniciación de expediente de reintegro, al órgano concedente, con expresión de las causas  de incumplimiento del beneficiario de la subvención, conforme a lo establecido en las bases reguladoras de la  subvención y en la Ley  38/2003 de 17 de noviembre, General de Subvenciones.</w:t>
      </w:r>
    </w:p>
    <w:p w:rsidR="00D4245A" w:rsidRPr="00CF3A34" w:rsidRDefault="00D4245A" w:rsidP="003D1DCE">
      <w:pPr>
        <w:jc w:val="both"/>
        <w:rPr>
          <w:rFonts w:ascii="Arial" w:hAnsi="Arial" w:cs="Arial"/>
          <w:sz w:val="22"/>
          <w:szCs w:val="22"/>
        </w:rPr>
      </w:pPr>
    </w:p>
    <w:p w:rsidR="00D4245A" w:rsidRPr="00CF3A34" w:rsidRDefault="00D4245A" w:rsidP="003D1DCE">
      <w:pPr>
        <w:jc w:val="both"/>
        <w:rPr>
          <w:rFonts w:ascii="Arial" w:hAnsi="Arial" w:cs="Arial"/>
          <w:sz w:val="22"/>
          <w:szCs w:val="22"/>
        </w:rPr>
      </w:pPr>
      <w:r w:rsidRPr="00CF3A34">
        <w:rPr>
          <w:rFonts w:ascii="Arial" w:hAnsi="Arial" w:cs="Arial"/>
          <w:b/>
          <w:bCs/>
          <w:sz w:val="22"/>
          <w:szCs w:val="22"/>
        </w:rPr>
        <w:tab/>
        <w:t>SEGUNDO.-</w:t>
      </w:r>
      <w:r w:rsidRPr="00CF3A34">
        <w:rPr>
          <w:rFonts w:ascii="Arial" w:hAnsi="Arial" w:cs="Arial"/>
          <w:sz w:val="22"/>
          <w:szCs w:val="22"/>
        </w:rPr>
        <w:t xml:space="preserve"> El órgano competente, a la vista del informe, resolverá, en su caso, en relación a los siguientes extremos:</w:t>
      </w:r>
    </w:p>
    <w:p w:rsidR="00D4245A" w:rsidRPr="00CF3A34" w:rsidRDefault="00D4245A" w:rsidP="003D1DCE">
      <w:pPr>
        <w:jc w:val="both"/>
        <w:rPr>
          <w:rFonts w:ascii="Arial" w:hAnsi="Arial" w:cs="Arial"/>
          <w:sz w:val="22"/>
          <w:szCs w:val="22"/>
        </w:rPr>
      </w:pPr>
      <w:r w:rsidRPr="00CF3A34">
        <w:rPr>
          <w:rFonts w:ascii="Arial" w:hAnsi="Arial" w:cs="Arial"/>
          <w:sz w:val="22"/>
          <w:szCs w:val="22"/>
        </w:rPr>
        <w:t xml:space="preserve"> </w:t>
      </w:r>
    </w:p>
    <w:p w:rsidR="00D4245A" w:rsidRPr="00CF3A34" w:rsidRDefault="00D4245A" w:rsidP="003D1DCE">
      <w:pPr>
        <w:jc w:val="both"/>
        <w:rPr>
          <w:rFonts w:ascii="Arial" w:hAnsi="Arial" w:cs="Arial"/>
          <w:sz w:val="22"/>
          <w:szCs w:val="22"/>
        </w:rPr>
      </w:pPr>
      <w:r w:rsidRPr="00CF3A34">
        <w:rPr>
          <w:rFonts w:ascii="Arial" w:hAnsi="Arial" w:cs="Arial"/>
          <w:sz w:val="22"/>
          <w:szCs w:val="22"/>
        </w:rPr>
        <w:t xml:space="preserve">A) Iniciar  expediente de reintegro </w:t>
      </w:r>
    </w:p>
    <w:p w:rsidR="00D4245A" w:rsidRPr="00CF3A34" w:rsidRDefault="00D4245A" w:rsidP="003D1DCE">
      <w:pPr>
        <w:jc w:val="both"/>
        <w:rPr>
          <w:rFonts w:ascii="Arial" w:hAnsi="Arial" w:cs="Arial"/>
          <w:sz w:val="22"/>
          <w:szCs w:val="22"/>
        </w:rPr>
      </w:pPr>
      <w:r w:rsidRPr="00CF3A34">
        <w:rPr>
          <w:rFonts w:ascii="Arial" w:hAnsi="Arial" w:cs="Arial"/>
          <w:sz w:val="22"/>
          <w:szCs w:val="22"/>
        </w:rPr>
        <w:t>B) Nombrar instructor del procedimiento.</w:t>
      </w:r>
    </w:p>
    <w:p w:rsidR="00D4245A" w:rsidRPr="00CF3A34" w:rsidRDefault="00D4245A" w:rsidP="003D1DCE">
      <w:pPr>
        <w:ind w:left="426" w:hanging="426"/>
        <w:jc w:val="both"/>
        <w:rPr>
          <w:rFonts w:ascii="Arial" w:hAnsi="Arial" w:cs="Arial"/>
          <w:sz w:val="22"/>
          <w:szCs w:val="22"/>
        </w:rPr>
      </w:pPr>
      <w:r w:rsidRPr="00CF3A34">
        <w:rPr>
          <w:rFonts w:ascii="Arial" w:hAnsi="Arial" w:cs="Arial"/>
          <w:sz w:val="22"/>
          <w:szCs w:val="22"/>
        </w:rPr>
        <w:t xml:space="preserve">C) Dar audiencia al beneficiario por plazo de 10 a 15 días. </w:t>
      </w:r>
    </w:p>
    <w:p w:rsidR="00D4245A" w:rsidRPr="00CF3A34" w:rsidRDefault="00D4245A" w:rsidP="003D1DCE">
      <w:pPr>
        <w:ind w:left="426" w:hanging="426"/>
        <w:jc w:val="both"/>
        <w:rPr>
          <w:rFonts w:ascii="Arial" w:hAnsi="Arial" w:cs="Arial"/>
          <w:b/>
          <w:bCs/>
          <w:sz w:val="22"/>
          <w:szCs w:val="22"/>
        </w:rPr>
      </w:pPr>
    </w:p>
    <w:p w:rsidR="00D4245A" w:rsidRPr="00CF3A34" w:rsidRDefault="00D4245A" w:rsidP="003D1DCE">
      <w:pPr>
        <w:ind w:left="426" w:hanging="426"/>
        <w:jc w:val="both"/>
        <w:rPr>
          <w:rFonts w:ascii="Arial" w:hAnsi="Arial" w:cs="Arial"/>
          <w:b/>
          <w:bCs/>
          <w:sz w:val="22"/>
          <w:szCs w:val="22"/>
        </w:rPr>
      </w:pPr>
    </w:p>
    <w:p w:rsidR="00D4245A" w:rsidRPr="00CF3A34" w:rsidRDefault="00D4245A" w:rsidP="003D1DCE">
      <w:pPr>
        <w:ind w:hanging="426"/>
        <w:jc w:val="both"/>
        <w:rPr>
          <w:rFonts w:ascii="Arial" w:hAnsi="Arial" w:cs="Arial"/>
          <w:sz w:val="22"/>
          <w:szCs w:val="22"/>
        </w:rPr>
      </w:pPr>
      <w:r w:rsidRPr="00CF3A34">
        <w:rPr>
          <w:rFonts w:ascii="Arial" w:hAnsi="Arial" w:cs="Arial"/>
          <w:b/>
          <w:bCs/>
          <w:sz w:val="22"/>
          <w:szCs w:val="22"/>
        </w:rPr>
        <w:tab/>
      </w:r>
      <w:r w:rsidRPr="00CF3A34">
        <w:rPr>
          <w:rFonts w:ascii="Arial" w:hAnsi="Arial" w:cs="Arial"/>
          <w:b/>
          <w:bCs/>
          <w:sz w:val="22"/>
          <w:szCs w:val="22"/>
        </w:rPr>
        <w:tab/>
        <w:t>TERCERO.-</w:t>
      </w:r>
      <w:r w:rsidRPr="00CF3A34">
        <w:rPr>
          <w:rFonts w:ascii="Arial" w:hAnsi="Arial" w:cs="Arial"/>
          <w:sz w:val="22"/>
          <w:szCs w:val="22"/>
        </w:rPr>
        <w:t xml:space="preserve"> El Servicio Gestor deberá  notificar el acuerdo/resolución de inicio de  expediente  de reintegro al beneficiario dando trámite de audiencia por plazo de 10 a 15 días, al objeto de formular alegaciones.</w:t>
      </w:r>
    </w:p>
    <w:p w:rsidR="00D4245A" w:rsidRPr="00CF3A34" w:rsidRDefault="00D4245A" w:rsidP="003D1DCE">
      <w:pPr>
        <w:ind w:left="426" w:hanging="426"/>
        <w:jc w:val="both"/>
        <w:rPr>
          <w:rFonts w:ascii="Arial" w:hAnsi="Arial" w:cs="Arial"/>
          <w:sz w:val="22"/>
          <w:szCs w:val="22"/>
        </w:rPr>
      </w:pPr>
    </w:p>
    <w:p w:rsidR="00D4245A" w:rsidRPr="00CF3A34" w:rsidRDefault="00D4245A" w:rsidP="003D1DCE">
      <w:pPr>
        <w:pStyle w:val="NormalWeb"/>
        <w:jc w:val="both"/>
        <w:rPr>
          <w:rFonts w:ascii="Arial" w:hAnsi="Arial" w:cs="Arial"/>
          <w:sz w:val="22"/>
          <w:szCs w:val="22"/>
        </w:rPr>
      </w:pPr>
      <w:r w:rsidRPr="00CF3A34">
        <w:rPr>
          <w:rFonts w:ascii="Arial" w:hAnsi="Arial" w:cs="Arial"/>
          <w:b/>
          <w:bCs/>
          <w:sz w:val="22"/>
          <w:szCs w:val="22"/>
        </w:rPr>
        <w:tab/>
        <w:t>CUARTO.-</w:t>
      </w:r>
      <w:r w:rsidRPr="00CF3A34">
        <w:rPr>
          <w:rFonts w:ascii="Arial" w:hAnsi="Arial" w:cs="Arial"/>
          <w:sz w:val="22"/>
          <w:szCs w:val="22"/>
        </w:rPr>
        <w:t xml:space="preserve"> Instruidos los procedimientos, e inmediatamente antes de redactar la propuesta de resolución, se pondrán de manifiesto a los interesados.</w:t>
      </w:r>
    </w:p>
    <w:p w:rsidR="00D4245A" w:rsidRPr="00CF3A34" w:rsidRDefault="00D4245A" w:rsidP="003D1DCE">
      <w:pPr>
        <w:pStyle w:val="NormalWeb"/>
        <w:jc w:val="both"/>
        <w:rPr>
          <w:rFonts w:ascii="Arial" w:hAnsi="Arial" w:cs="Arial"/>
          <w:sz w:val="22"/>
          <w:szCs w:val="22"/>
        </w:rPr>
      </w:pPr>
      <w:r w:rsidRPr="00CF3A34">
        <w:rPr>
          <w:rFonts w:ascii="Arial" w:hAnsi="Arial" w:cs="Arial"/>
          <w:sz w:val="22"/>
          <w:szCs w:val="22"/>
        </w:rPr>
        <w:tab/>
        <w:t xml:space="preserve">Los interesados, en un plazo no inferior a diez días ni superior a quince, podrán alegar y presentar los documentos y justificaciones que estimen pertinentes. Si antes del vencimiento del plazo los interesados manifiestan su decisión de no efectuar alegaciones ni aportar nuevos documentos o justificaciones, se tendrá por realizado el trámite. </w:t>
      </w:r>
    </w:p>
    <w:p w:rsidR="00D4245A" w:rsidRPr="00CF3A34" w:rsidRDefault="00D4245A" w:rsidP="003D1DCE">
      <w:pPr>
        <w:pStyle w:val="NormalWeb"/>
        <w:jc w:val="both"/>
        <w:rPr>
          <w:rFonts w:ascii="Arial" w:hAnsi="Arial" w:cs="Arial"/>
          <w:sz w:val="22"/>
          <w:szCs w:val="22"/>
        </w:rPr>
      </w:pPr>
      <w:r w:rsidRPr="00CF3A34">
        <w:rPr>
          <w:rFonts w:ascii="Arial" w:hAnsi="Arial" w:cs="Arial"/>
          <w:b/>
          <w:bCs/>
          <w:sz w:val="22"/>
          <w:szCs w:val="22"/>
        </w:rPr>
        <w:tab/>
        <w:t>Se podrá prescindir del trámite de audiencia</w:t>
      </w:r>
      <w:r w:rsidRPr="00CF3A34">
        <w:rPr>
          <w:rFonts w:ascii="Arial" w:hAnsi="Arial" w:cs="Arial"/>
          <w:sz w:val="22"/>
          <w:szCs w:val="22"/>
        </w:rPr>
        <w:t xml:space="preserve"> cuando no figuren en el procedimiento ni sean tenidos en cuenta en la resolución otros hechos ni otras alegaciones y pruebas que las aducidas por el interesado. </w:t>
      </w:r>
    </w:p>
    <w:p w:rsidR="00D4245A" w:rsidRPr="00CF3A34" w:rsidRDefault="00D4245A" w:rsidP="003D1DCE">
      <w:pPr>
        <w:jc w:val="both"/>
        <w:rPr>
          <w:rFonts w:ascii="Arial" w:hAnsi="Arial" w:cs="Arial"/>
          <w:sz w:val="22"/>
          <w:szCs w:val="22"/>
        </w:rPr>
      </w:pPr>
      <w:r w:rsidRPr="00CF3A34">
        <w:rPr>
          <w:rFonts w:ascii="Arial" w:hAnsi="Arial" w:cs="Arial"/>
          <w:sz w:val="22"/>
          <w:szCs w:val="22"/>
        </w:rPr>
        <w:tab/>
      </w:r>
      <w:r w:rsidRPr="00CF3A34">
        <w:rPr>
          <w:rFonts w:ascii="Arial" w:hAnsi="Arial" w:cs="Arial"/>
          <w:b/>
          <w:bCs/>
          <w:sz w:val="22"/>
          <w:szCs w:val="22"/>
        </w:rPr>
        <w:t>QUINTO.-</w:t>
      </w:r>
      <w:r w:rsidRPr="00CF3A34">
        <w:rPr>
          <w:rFonts w:ascii="Arial" w:hAnsi="Arial" w:cs="Arial"/>
          <w:sz w:val="22"/>
          <w:szCs w:val="22"/>
        </w:rPr>
        <w:t xml:space="preserve"> La resolución /acuerdo concluyendo sobre la procedencia del reintegro, deberá contener  los siguientes datos:</w:t>
      </w:r>
    </w:p>
    <w:p w:rsidR="00D4245A" w:rsidRPr="00CF3A34" w:rsidRDefault="00D4245A" w:rsidP="003D1DCE">
      <w:pPr>
        <w:jc w:val="both"/>
        <w:rPr>
          <w:rFonts w:ascii="Arial" w:hAnsi="Arial" w:cs="Arial"/>
          <w:sz w:val="22"/>
          <w:szCs w:val="22"/>
        </w:rPr>
      </w:pPr>
    </w:p>
    <w:p w:rsidR="00D4245A" w:rsidRPr="00CF3A34" w:rsidRDefault="00D4245A" w:rsidP="003D1DCE">
      <w:pPr>
        <w:ind w:left="1080" w:hanging="360"/>
        <w:jc w:val="both"/>
        <w:rPr>
          <w:rFonts w:ascii="Arial" w:hAnsi="Arial" w:cs="Arial"/>
          <w:i/>
          <w:iCs/>
          <w:sz w:val="22"/>
          <w:szCs w:val="22"/>
        </w:rPr>
      </w:pPr>
      <w:r w:rsidRPr="00CF3A34">
        <w:rPr>
          <w:rFonts w:ascii="Arial" w:hAnsi="Arial" w:cs="Arial"/>
          <w:i/>
          <w:iCs/>
          <w:sz w:val="22"/>
          <w:szCs w:val="22"/>
        </w:rPr>
        <w:t>1.-</w:t>
      </w:r>
      <w:r>
        <w:rPr>
          <w:rFonts w:ascii="Arial" w:hAnsi="Arial" w:cs="Arial"/>
          <w:i/>
          <w:iCs/>
          <w:sz w:val="22"/>
          <w:szCs w:val="22"/>
        </w:rPr>
        <w:t xml:space="preserve"> </w:t>
      </w:r>
      <w:r w:rsidRPr="00CF3A34">
        <w:rPr>
          <w:rFonts w:ascii="Arial" w:hAnsi="Arial" w:cs="Arial"/>
          <w:i/>
          <w:iCs/>
          <w:sz w:val="22"/>
          <w:szCs w:val="22"/>
        </w:rPr>
        <w:t>Datos identificativos  de la persona física o jurídica</w:t>
      </w:r>
    </w:p>
    <w:p w:rsidR="00D4245A" w:rsidRPr="00CF3A34" w:rsidRDefault="00D4245A" w:rsidP="003D1DCE">
      <w:pPr>
        <w:ind w:left="1080" w:hanging="360"/>
        <w:jc w:val="both"/>
        <w:rPr>
          <w:rFonts w:ascii="Arial" w:hAnsi="Arial" w:cs="Arial"/>
          <w:i/>
          <w:iCs/>
          <w:sz w:val="22"/>
          <w:szCs w:val="22"/>
        </w:rPr>
      </w:pPr>
      <w:r w:rsidRPr="00CF3A34">
        <w:rPr>
          <w:rFonts w:ascii="Arial" w:hAnsi="Arial" w:cs="Arial"/>
          <w:i/>
          <w:iCs/>
          <w:sz w:val="22"/>
          <w:szCs w:val="22"/>
        </w:rPr>
        <w:t>2.-</w:t>
      </w:r>
      <w:r>
        <w:rPr>
          <w:rFonts w:ascii="Arial" w:hAnsi="Arial" w:cs="Arial"/>
          <w:i/>
          <w:iCs/>
          <w:sz w:val="22"/>
          <w:szCs w:val="22"/>
        </w:rPr>
        <w:t xml:space="preserve"> </w:t>
      </w:r>
      <w:r w:rsidRPr="00CF3A34">
        <w:rPr>
          <w:rFonts w:ascii="Arial" w:hAnsi="Arial" w:cs="Arial"/>
          <w:i/>
          <w:iCs/>
          <w:sz w:val="22"/>
          <w:szCs w:val="22"/>
        </w:rPr>
        <w:t>NIF/CIF, domicilio.</w:t>
      </w:r>
    </w:p>
    <w:p w:rsidR="00D4245A" w:rsidRPr="00CF3A34" w:rsidRDefault="00D4245A" w:rsidP="003D1DCE">
      <w:pPr>
        <w:ind w:left="1080" w:hanging="360"/>
        <w:jc w:val="both"/>
        <w:rPr>
          <w:rFonts w:ascii="Arial" w:hAnsi="Arial" w:cs="Arial"/>
          <w:i/>
          <w:iCs/>
          <w:sz w:val="22"/>
          <w:szCs w:val="22"/>
        </w:rPr>
      </w:pPr>
      <w:r w:rsidRPr="00CF3A34">
        <w:rPr>
          <w:rFonts w:ascii="Arial" w:hAnsi="Arial" w:cs="Arial"/>
          <w:i/>
          <w:iCs/>
          <w:sz w:val="22"/>
          <w:szCs w:val="22"/>
        </w:rPr>
        <w:t>3.-</w:t>
      </w:r>
      <w:r>
        <w:rPr>
          <w:rFonts w:ascii="Arial" w:hAnsi="Arial" w:cs="Arial"/>
          <w:i/>
          <w:iCs/>
          <w:sz w:val="22"/>
          <w:szCs w:val="22"/>
        </w:rPr>
        <w:t xml:space="preserve"> </w:t>
      </w:r>
      <w:r w:rsidRPr="00CF3A34">
        <w:rPr>
          <w:rFonts w:ascii="Arial" w:hAnsi="Arial" w:cs="Arial"/>
          <w:i/>
          <w:iCs/>
          <w:sz w:val="22"/>
          <w:szCs w:val="22"/>
        </w:rPr>
        <w:t>Norma al amparo de la cual se concedió la subvención.</w:t>
      </w:r>
    </w:p>
    <w:p w:rsidR="00D4245A" w:rsidRPr="00CF3A34" w:rsidRDefault="00D4245A" w:rsidP="003D1DCE">
      <w:pPr>
        <w:ind w:left="1080" w:hanging="360"/>
        <w:jc w:val="both"/>
        <w:rPr>
          <w:rFonts w:ascii="Arial" w:hAnsi="Arial" w:cs="Arial"/>
          <w:i/>
          <w:iCs/>
          <w:sz w:val="22"/>
          <w:szCs w:val="22"/>
        </w:rPr>
      </w:pPr>
      <w:r w:rsidRPr="00CF3A34">
        <w:rPr>
          <w:rFonts w:ascii="Arial" w:hAnsi="Arial" w:cs="Arial"/>
          <w:i/>
          <w:iCs/>
          <w:sz w:val="22"/>
          <w:szCs w:val="22"/>
        </w:rPr>
        <w:t>4.-</w:t>
      </w:r>
      <w:r>
        <w:rPr>
          <w:rFonts w:ascii="Arial" w:hAnsi="Arial" w:cs="Arial"/>
          <w:i/>
          <w:iCs/>
          <w:sz w:val="22"/>
          <w:szCs w:val="22"/>
        </w:rPr>
        <w:t xml:space="preserve"> </w:t>
      </w:r>
      <w:r w:rsidRPr="00CF3A34">
        <w:rPr>
          <w:rFonts w:ascii="Arial" w:hAnsi="Arial" w:cs="Arial"/>
          <w:i/>
          <w:iCs/>
          <w:sz w:val="22"/>
          <w:szCs w:val="22"/>
        </w:rPr>
        <w:t>Sucinta relación de hechos.</w:t>
      </w:r>
    </w:p>
    <w:p w:rsidR="00D4245A" w:rsidRPr="00CF3A34" w:rsidRDefault="00D4245A" w:rsidP="003D1DCE">
      <w:pPr>
        <w:ind w:left="1080" w:hanging="360"/>
        <w:jc w:val="both"/>
        <w:rPr>
          <w:rFonts w:ascii="Arial" w:hAnsi="Arial" w:cs="Arial"/>
          <w:i/>
          <w:iCs/>
          <w:sz w:val="22"/>
          <w:szCs w:val="22"/>
        </w:rPr>
      </w:pPr>
      <w:r w:rsidRPr="00CF3A34">
        <w:rPr>
          <w:rFonts w:ascii="Arial" w:hAnsi="Arial" w:cs="Arial"/>
          <w:i/>
          <w:iCs/>
          <w:sz w:val="22"/>
          <w:szCs w:val="22"/>
        </w:rPr>
        <w:t>5.-</w:t>
      </w:r>
      <w:r>
        <w:rPr>
          <w:rFonts w:ascii="Arial" w:hAnsi="Arial" w:cs="Arial"/>
          <w:i/>
          <w:iCs/>
          <w:sz w:val="22"/>
          <w:szCs w:val="22"/>
        </w:rPr>
        <w:t xml:space="preserve"> </w:t>
      </w:r>
      <w:r w:rsidRPr="00CF3A34">
        <w:rPr>
          <w:rFonts w:ascii="Arial" w:hAnsi="Arial" w:cs="Arial"/>
          <w:i/>
          <w:iCs/>
          <w:sz w:val="22"/>
          <w:szCs w:val="22"/>
        </w:rPr>
        <w:t>Fecha de concesión.</w:t>
      </w:r>
    </w:p>
    <w:p w:rsidR="00D4245A" w:rsidRPr="00CF3A34" w:rsidRDefault="00D4245A" w:rsidP="003D1DCE">
      <w:pPr>
        <w:ind w:left="1080" w:hanging="360"/>
        <w:jc w:val="both"/>
        <w:rPr>
          <w:rFonts w:ascii="Arial" w:hAnsi="Arial" w:cs="Arial"/>
          <w:i/>
          <w:iCs/>
          <w:sz w:val="22"/>
          <w:szCs w:val="22"/>
        </w:rPr>
      </w:pPr>
      <w:r w:rsidRPr="00CF3A34">
        <w:rPr>
          <w:rFonts w:ascii="Arial" w:hAnsi="Arial" w:cs="Arial"/>
          <w:i/>
          <w:iCs/>
          <w:sz w:val="22"/>
          <w:szCs w:val="22"/>
        </w:rPr>
        <w:t>6.- Fecha de pago</w:t>
      </w:r>
    </w:p>
    <w:p w:rsidR="00D4245A" w:rsidRPr="00CF3A34" w:rsidRDefault="00D4245A" w:rsidP="003D1DCE">
      <w:pPr>
        <w:ind w:left="1080" w:hanging="360"/>
        <w:jc w:val="both"/>
        <w:rPr>
          <w:rFonts w:ascii="Arial" w:hAnsi="Arial" w:cs="Arial"/>
          <w:i/>
          <w:iCs/>
          <w:sz w:val="22"/>
          <w:szCs w:val="22"/>
        </w:rPr>
      </w:pPr>
      <w:r w:rsidRPr="00CF3A34">
        <w:rPr>
          <w:rFonts w:ascii="Arial" w:hAnsi="Arial" w:cs="Arial"/>
          <w:i/>
          <w:iCs/>
          <w:sz w:val="22"/>
          <w:szCs w:val="22"/>
        </w:rPr>
        <w:t>7.-</w:t>
      </w:r>
      <w:r>
        <w:rPr>
          <w:rFonts w:ascii="Arial" w:hAnsi="Arial" w:cs="Arial"/>
          <w:i/>
          <w:iCs/>
          <w:sz w:val="22"/>
          <w:szCs w:val="22"/>
        </w:rPr>
        <w:t xml:space="preserve"> </w:t>
      </w:r>
      <w:r w:rsidRPr="00CF3A34">
        <w:rPr>
          <w:rFonts w:ascii="Arial" w:hAnsi="Arial" w:cs="Arial"/>
          <w:i/>
          <w:iCs/>
          <w:sz w:val="22"/>
          <w:szCs w:val="22"/>
        </w:rPr>
        <w:t>Incumplimiento</w:t>
      </w:r>
      <w:r>
        <w:rPr>
          <w:rFonts w:ascii="Arial" w:hAnsi="Arial" w:cs="Arial"/>
          <w:i/>
          <w:iCs/>
          <w:sz w:val="22"/>
          <w:szCs w:val="22"/>
        </w:rPr>
        <w:t>s</w:t>
      </w:r>
      <w:r w:rsidRPr="00CF3A34">
        <w:rPr>
          <w:rFonts w:ascii="Arial" w:hAnsi="Arial" w:cs="Arial"/>
          <w:i/>
          <w:iCs/>
          <w:sz w:val="22"/>
          <w:szCs w:val="22"/>
        </w:rPr>
        <w:t xml:space="preserve"> detectados.</w:t>
      </w:r>
    </w:p>
    <w:p w:rsidR="00D4245A" w:rsidRPr="00CF3A34" w:rsidRDefault="00D4245A" w:rsidP="003D1DCE">
      <w:pPr>
        <w:ind w:left="1080" w:hanging="360"/>
        <w:jc w:val="both"/>
        <w:rPr>
          <w:rFonts w:ascii="Arial" w:hAnsi="Arial" w:cs="Arial"/>
          <w:i/>
          <w:iCs/>
          <w:sz w:val="22"/>
          <w:szCs w:val="22"/>
        </w:rPr>
      </w:pPr>
      <w:r w:rsidRPr="00CF3A34">
        <w:rPr>
          <w:rFonts w:ascii="Arial" w:hAnsi="Arial" w:cs="Arial"/>
          <w:i/>
          <w:iCs/>
          <w:sz w:val="22"/>
          <w:szCs w:val="22"/>
        </w:rPr>
        <w:t>8.-</w:t>
      </w:r>
      <w:r>
        <w:rPr>
          <w:rFonts w:ascii="Arial" w:hAnsi="Arial" w:cs="Arial"/>
          <w:i/>
          <w:iCs/>
          <w:sz w:val="22"/>
          <w:szCs w:val="22"/>
        </w:rPr>
        <w:t xml:space="preserve"> </w:t>
      </w:r>
      <w:r w:rsidRPr="00CF3A34">
        <w:rPr>
          <w:rFonts w:ascii="Arial" w:hAnsi="Arial" w:cs="Arial"/>
          <w:i/>
          <w:iCs/>
          <w:sz w:val="22"/>
          <w:szCs w:val="22"/>
        </w:rPr>
        <w:t>Calculo de los intereses de demora.</w:t>
      </w:r>
    </w:p>
    <w:p w:rsidR="00D4245A" w:rsidRPr="00CF3A34" w:rsidRDefault="00D4245A" w:rsidP="003D1DCE">
      <w:pPr>
        <w:ind w:left="1080" w:hanging="360"/>
        <w:jc w:val="both"/>
        <w:rPr>
          <w:rFonts w:ascii="Arial" w:hAnsi="Arial" w:cs="Arial"/>
          <w:i/>
          <w:iCs/>
          <w:sz w:val="22"/>
          <w:szCs w:val="22"/>
        </w:rPr>
      </w:pPr>
      <w:r w:rsidRPr="00CF3A34">
        <w:rPr>
          <w:rFonts w:ascii="Arial" w:hAnsi="Arial" w:cs="Arial"/>
          <w:i/>
          <w:iCs/>
          <w:sz w:val="22"/>
          <w:szCs w:val="22"/>
        </w:rPr>
        <w:t>9.-</w:t>
      </w:r>
      <w:r>
        <w:rPr>
          <w:rFonts w:ascii="Arial" w:hAnsi="Arial" w:cs="Arial"/>
          <w:i/>
          <w:iCs/>
          <w:sz w:val="22"/>
          <w:szCs w:val="22"/>
        </w:rPr>
        <w:t xml:space="preserve"> </w:t>
      </w:r>
      <w:r w:rsidRPr="00CF3A34">
        <w:rPr>
          <w:rFonts w:ascii="Arial" w:hAnsi="Arial" w:cs="Arial"/>
          <w:i/>
          <w:iCs/>
          <w:sz w:val="22"/>
          <w:szCs w:val="22"/>
        </w:rPr>
        <w:t>Fecha y contenido  de la notificación  al interesado  y alegaciones, si las hubiere habido</w:t>
      </w:r>
    </w:p>
    <w:p w:rsidR="00D4245A" w:rsidRPr="00CF3A34" w:rsidRDefault="00D4245A" w:rsidP="003D1DCE">
      <w:pPr>
        <w:jc w:val="both"/>
        <w:rPr>
          <w:rFonts w:ascii="Arial" w:hAnsi="Arial" w:cs="Arial"/>
          <w:b/>
          <w:bCs/>
          <w:i/>
          <w:iCs/>
          <w:sz w:val="22"/>
          <w:szCs w:val="22"/>
        </w:rPr>
      </w:pPr>
    </w:p>
    <w:p w:rsidR="00D4245A" w:rsidRPr="00CF3A34" w:rsidRDefault="00D4245A" w:rsidP="003D1DCE">
      <w:pPr>
        <w:jc w:val="both"/>
        <w:rPr>
          <w:rFonts w:ascii="Arial" w:hAnsi="Arial" w:cs="Arial"/>
          <w:b/>
          <w:bCs/>
          <w:i/>
          <w:iCs/>
          <w:sz w:val="22"/>
          <w:szCs w:val="22"/>
        </w:rPr>
      </w:pPr>
      <w:r w:rsidRPr="00CF3A34">
        <w:rPr>
          <w:rFonts w:ascii="Arial" w:hAnsi="Arial" w:cs="Arial"/>
          <w:b/>
          <w:bCs/>
          <w:i/>
          <w:iCs/>
          <w:sz w:val="22"/>
          <w:szCs w:val="22"/>
        </w:rPr>
        <w:t xml:space="preserve">Asimismo en la parte dispositiva del Acuerdo/resolución deberán constar los siguientes extremos: </w:t>
      </w:r>
    </w:p>
    <w:p w:rsidR="00D4245A" w:rsidRPr="00CF3A34" w:rsidRDefault="00D4245A" w:rsidP="003D1DCE">
      <w:pPr>
        <w:jc w:val="both"/>
        <w:rPr>
          <w:rFonts w:ascii="Arial" w:hAnsi="Arial" w:cs="Arial"/>
          <w:b/>
          <w:bCs/>
          <w:sz w:val="22"/>
          <w:szCs w:val="22"/>
        </w:rPr>
      </w:pPr>
    </w:p>
    <w:p w:rsidR="00D4245A" w:rsidRPr="00CF3A34" w:rsidRDefault="00D4245A" w:rsidP="003D1DCE">
      <w:pPr>
        <w:jc w:val="both"/>
        <w:rPr>
          <w:rFonts w:ascii="Arial" w:hAnsi="Arial" w:cs="Arial"/>
          <w:i/>
          <w:iCs/>
          <w:sz w:val="22"/>
          <w:szCs w:val="22"/>
        </w:rPr>
      </w:pPr>
      <w:r w:rsidRPr="00CF3A34">
        <w:rPr>
          <w:rFonts w:ascii="Arial" w:hAnsi="Arial" w:cs="Arial"/>
          <w:b/>
          <w:bCs/>
          <w:i/>
          <w:iCs/>
          <w:sz w:val="22"/>
          <w:szCs w:val="22"/>
        </w:rPr>
        <w:t>1.-Procedencia del reintegro</w:t>
      </w:r>
      <w:r w:rsidRPr="00CF3A34">
        <w:rPr>
          <w:rFonts w:ascii="Arial" w:hAnsi="Arial" w:cs="Arial"/>
          <w:i/>
          <w:iCs/>
          <w:sz w:val="22"/>
          <w:szCs w:val="22"/>
        </w:rPr>
        <w:t xml:space="preserve"> de la subvención más los intereses de demora desde el momento del pago.( Se exigirán intereses de demora desde el momento del pago de la subvención hasta la fecha en que se acuerde el reintegro) </w:t>
      </w:r>
    </w:p>
    <w:p w:rsidR="00D4245A" w:rsidRPr="00CF3A34" w:rsidRDefault="00D4245A" w:rsidP="003D1DCE">
      <w:pPr>
        <w:pStyle w:val="BodyText"/>
        <w:tabs>
          <w:tab w:val="num" w:pos="0"/>
        </w:tabs>
        <w:rPr>
          <w:b/>
          <w:bCs/>
          <w:i/>
          <w:iCs/>
          <w:sz w:val="22"/>
          <w:szCs w:val="22"/>
        </w:rPr>
      </w:pPr>
    </w:p>
    <w:p w:rsidR="00D4245A" w:rsidRPr="00CF3A34" w:rsidRDefault="00D4245A" w:rsidP="003D1DCE">
      <w:pPr>
        <w:pStyle w:val="BodyText"/>
        <w:tabs>
          <w:tab w:val="num" w:pos="0"/>
        </w:tabs>
        <w:spacing w:line="240" w:lineRule="auto"/>
        <w:rPr>
          <w:i/>
          <w:iCs/>
          <w:sz w:val="22"/>
          <w:szCs w:val="22"/>
        </w:rPr>
      </w:pPr>
      <w:r w:rsidRPr="00CF3A34">
        <w:rPr>
          <w:b/>
          <w:bCs/>
          <w:i/>
          <w:iCs/>
          <w:sz w:val="22"/>
          <w:szCs w:val="22"/>
        </w:rPr>
        <w:t>2.- Plazo de ingreso:</w:t>
      </w:r>
    </w:p>
    <w:p w:rsidR="00D4245A" w:rsidRPr="00CF3A34" w:rsidRDefault="00D4245A" w:rsidP="003D1DCE">
      <w:pPr>
        <w:pStyle w:val="BodyText"/>
        <w:tabs>
          <w:tab w:val="num" w:pos="0"/>
        </w:tabs>
        <w:spacing w:line="240" w:lineRule="auto"/>
        <w:rPr>
          <w:i/>
          <w:iCs/>
          <w:sz w:val="22"/>
          <w:szCs w:val="22"/>
        </w:rPr>
      </w:pPr>
      <w:r w:rsidRPr="00CF3A34">
        <w:rPr>
          <w:i/>
          <w:iCs/>
          <w:sz w:val="22"/>
          <w:szCs w:val="22"/>
        </w:rPr>
        <w:t>a.-Si la notificación de la liquidación se realiza entre los días uno y 15 de cada mes, desde la fecha de recepción de la notificación hasta el día 20 del mes posterior o, si éste no fuera hábil, hasta el inmediato hábil siguiente.</w:t>
      </w:r>
    </w:p>
    <w:p w:rsidR="00D4245A" w:rsidRDefault="00D4245A" w:rsidP="003D1DCE">
      <w:pPr>
        <w:pStyle w:val="BodyText"/>
        <w:tabs>
          <w:tab w:val="num" w:pos="0"/>
        </w:tabs>
        <w:spacing w:line="240" w:lineRule="auto"/>
        <w:rPr>
          <w:i/>
          <w:iCs/>
          <w:sz w:val="22"/>
          <w:szCs w:val="22"/>
        </w:rPr>
      </w:pPr>
      <w:r w:rsidRPr="00CF3A34">
        <w:rPr>
          <w:i/>
          <w:iCs/>
          <w:sz w:val="22"/>
          <w:szCs w:val="22"/>
        </w:rPr>
        <w:t xml:space="preserve">b.- Si la notificación de la liquidación se realiza entre los días 16 y último de cada mes, desde la fecha de recepción de la notificación hasta el día 5 del </w:t>
      </w:r>
      <w:r w:rsidRPr="00CF3A34">
        <w:rPr>
          <w:b/>
          <w:bCs/>
          <w:i/>
          <w:iCs/>
          <w:sz w:val="22"/>
          <w:szCs w:val="22"/>
        </w:rPr>
        <w:t>segundo</w:t>
      </w:r>
      <w:r w:rsidRPr="00CF3A34">
        <w:rPr>
          <w:i/>
          <w:iCs/>
          <w:sz w:val="22"/>
          <w:szCs w:val="22"/>
        </w:rPr>
        <w:t xml:space="preserve"> mes posterior o, si éste no fuera hábil, hasta el inmediato hábil siguiente</w:t>
      </w:r>
    </w:p>
    <w:p w:rsidR="00D4245A" w:rsidRPr="00CF3A34" w:rsidRDefault="00D4245A" w:rsidP="003D1DCE">
      <w:pPr>
        <w:pStyle w:val="BodyText"/>
        <w:tabs>
          <w:tab w:val="num" w:pos="0"/>
        </w:tabs>
        <w:spacing w:line="240" w:lineRule="auto"/>
        <w:rPr>
          <w:i/>
          <w:iCs/>
          <w:sz w:val="22"/>
          <w:szCs w:val="22"/>
        </w:rPr>
      </w:pPr>
    </w:p>
    <w:p w:rsidR="00D4245A" w:rsidRPr="00CF3A34" w:rsidRDefault="00D4245A" w:rsidP="003D1DCE">
      <w:pPr>
        <w:pStyle w:val="BodyText"/>
        <w:tabs>
          <w:tab w:val="num" w:pos="0"/>
        </w:tabs>
        <w:spacing w:line="240" w:lineRule="auto"/>
        <w:rPr>
          <w:i/>
          <w:iCs/>
          <w:sz w:val="22"/>
          <w:szCs w:val="22"/>
        </w:rPr>
      </w:pPr>
      <w:r w:rsidRPr="00CF3A34">
        <w:rPr>
          <w:b/>
          <w:bCs/>
          <w:i/>
          <w:iCs/>
          <w:sz w:val="22"/>
          <w:szCs w:val="22"/>
        </w:rPr>
        <w:t>3.-</w:t>
      </w:r>
      <w:r w:rsidRPr="00CF3A34">
        <w:rPr>
          <w:i/>
          <w:iCs/>
          <w:sz w:val="22"/>
          <w:szCs w:val="22"/>
        </w:rPr>
        <w:t xml:space="preserve"> La deuda deberá ser ingresada en la cuenta corriente de CajaCanarias número 2065/0000/02/1114000249, haciendo constar en </w:t>
      </w:r>
      <w:r w:rsidRPr="00CF3A34">
        <w:rPr>
          <w:i/>
          <w:iCs/>
          <w:sz w:val="22"/>
          <w:szCs w:val="22"/>
        </w:rPr>
        <w:tab/>
        <w:t>el ingreso el nombre del interesado, proyecto  y número de expediente.</w:t>
      </w:r>
    </w:p>
    <w:p w:rsidR="00D4245A" w:rsidRPr="00CF3A34" w:rsidRDefault="00D4245A" w:rsidP="003D1DCE">
      <w:pPr>
        <w:pStyle w:val="BodyText"/>
        <w:tabs>
          <w:tab w:val="num" w:pos="0"/>
        </w:tabs>
        <w:spacing w:line="240" w:lineRule="auto"/>
        <w:rPr>
          <w:i/>
          <w:iCs/>
          <w:sz w:val="22"/>
          <w:szCs w:val="22"/>
        </w:rPr>
      </w:pPr>
    </w:p>
    <w:p w:rsidR="00D4245A" w:rsidRPr="00CF3A34" w:rsidRDefault="00D4245A" w:rsidP="003D1DCE">
      <w:pPr>
        <w:pStyle w:val="BodyText"/>
        <w:tabs>
          <w:tab w:val="num" w:pos="0"/>
        </w:tabs>
        <w:spacing w:line="240" w:lineRule="auto"/>
        <w:rPr>
          <w:i/>
          <w:iCs/>
          <w:sz w:val="22"/>
          <w:szCs w:val="22"/>
        </w:rPr>
      </w:pPr>
      <w:r w:rsidRPr="003D1DCE">
        <w:rPr>
          <w:b/>
          <w:bCs/>
          <w:i/>
          <w:iCs/>
          <w:sz w:val="22"/>
          <w:szCs w:val="22"/>
        </w:rPr>
        <w:t>4.-</w:t>
      </w:r>
      <w:r w:rsidRPr="00CF3A34">
        <w:rPr>
          <w:i/>
          <w:iCs/>
          <w:sz w:val="22"/>
          <w:szCs w:val="22"/>
        </w:rPr>
        <w:t>Advertencia al tercero de que, de no efectuar el pago al vencimiento del plazo otorgado, se procederá a su cobro por la vía de apremio.</w:t>
      </w:r>
    </w:p>
    <w:p w:rsidR="00D4245A" w:rsidRPr="00CF3A34" w:rsidRDefault="00D4245A" w:rsidP="003D1DCE">
      <w:pPr>
        <w:pStyle w:val="BodyText"/>
        <w:tabs>
          <w:tab w:val="num" w:pos="0"/>
        </w:tabs>
        <w:rPr>
          <w:b/>
          <w:bCs/>
          <w:i/>
          <w:iCs/>
          <w:sz w:val="22"/>
          <w:szCs w:val="22"/>
        </w:rPr>
      </w:pPr>
    </w:p>
    <w:p w:rsidR="00D4245A" w:rsidRPr="00CF3A34" w:rsidRDefault="00D4245A" w:rsidP="003D1DCE">
      <w:pPr>
        <w:pStyle w:val="BodyText"/>
        <w:tabs>
          <w:tab w:val="num" w:pos="0"/>
        </w:tabs>
        <w:rPr>
          <w:b/>
          <w:bCs/>
          <w:i/>
          <w:iCs/>
          <w:sz w:val="22"/>
          <w:szCs w:val="22"/>
        </w:rPr>
      </w:pPr>
      <w:r w:rsidRPr="00CF3A34">
        <w:rPr>
          <w:b/>
          <w:bCs/>
          <w:i/>
          <w:iCs/>
          <w:sz w:val="22"/>
          <w:szCs w:val="22"/>
        </w:rPr>
        <w:t>5.-Pie de recurso.”</w:t>
      </w:r>
    </w:p>
    <w:p w:rsidR="00D4245A" w:rsidRPr="00CF3A34" w:rsidRDefault="00D4245A" w:rsidP="003D1DCE">
      <w:pPr>
        <w:rPr>
          <w:rFonts w:ascii="Arial" w:hAnsi="Arial" w:cs="Arial"/>
          <w:b/>
          <w:bCs/>
          <w:sz w:val="22"/>
          <w:szCs w:val="22"/>
        </w:rPr>
      </w:pPr>
    </w:p>
    <w:p w:rsidR="00D4245A" w:rsidRPr="00CF3A34" w:rsidRDefault="00D4245A" w:rsidP="003D1DCE">
      <w:pPr>
        <w:jc w:val="both"/>
        <w:rPr>
          <w:rFonts w:ascii="Arial" w:hAnsi="Arial" w:cs="Arial"/>
          <w:sz w:val="22"/>
          <w:szCs w:val="22"/>
        </w:rPr>
      </w:pPr>
      <w:r w:rsidRPr="00CF3A34">
        <w:rPr>
          <w:rFonts w:ascii="Arial" w:hAnsi="Arial" w:cs="Arial"/>
          <w:b/>
          <w:bCs/>
          <w:sz w:val="22"/>
          <w:szCs w:val="22"/>
        </w:rPr>
        <w:tab/>
        <w:t>SEXTO.-</w:t>
      </w:r>
      <w:r w:rsidRPr="00CF3A34">
        <w:rPr>
          <w:rFonts w:ascii="Arial" w:hAnsi="Arial" w:cs="Arial"/>
          <w:sz w:val="22"/>
          <w:szCs w:val="22"/>
        </w:rPr>
        <w:t xml:space="preserve">  El Servicio Gestor de la subvención, deberá remitir copia del Acuerdo/Resolución de reintegro junto con una copia de la documentación acreditativa  de la notificación practicada, al Servicio Administrativo de Gestión Financiera y Tesorería, al efecto de realizar las oportunas gestiones en relación al cobro de la subvención a reintegrar. </w:t>
      </w:r>
    </w:p>
    <w:p w:rsidR="00D4245A" w:rsidRPr="00CF3A34" w:rsidRDefault="00D4245A" w:rsidP="003D1DCE">
      <w:pPr>
        <w:ind w:left="277"/>
        <w:rPr>
          <w:rFonts w:ascii="Arial" w:hAnsi="Arial" w:cs="Arial"/>
          <w:sz w:val="22"/>
          <w:szCs w:val="22"/>
        </w:rPr>
      </w:pPr>
    </w:p>
    <w:p w:rsidR="00D4245A" w:rsidRPr="00CF3A34" w:rsidRDefault="00D4245A" w:rsidP="003D1DCE">
      <w:pPr>
        <w:ind w:left="277"/>
        <w:rPr>
          <w:rFonts w:ascii="Arial" w:hAnsi="Arial" w:cs="Arial"/>
          <w:sz w:val="22"/>
          <w:szCs w:val="22"/>
        </w:rPr>
      </w:pPr>
    </w:p>
    <w:p w:rsidR="00D4245A" w:rsidRPr="00CF3A34" w:rsidRDefault="00D4245A" w:rsidP="003D1DCE">
      <w:pPr>
        <w:jc w:val="both"/>
        <w:rPr>
          <w:rFonts w:ascii="Arial" w:hAnsi="Arial" w:cs="Arial"/>
          <w:sz w:val="22"/>
          <w:szCs w:val="22"/>
        </w:rPr>
      </w:pPr>
      <w:r w:rsidRPr="00CF3A34">
        <w:rPr>
          <w:rFonts w:ascii="Arial" w:hAnsi="Arial" w:cs="Arial"/>
          <w:b/>
          <w:bCs/>
          <w:sz w:val="22"/>
          <w:szCs w:val="22"/>
        </w:rPr>
        <w:tab/>
        <w:t>SEPTIMO.-</w:t>
      </w:r>
      <w:r w:rsidRPr="00CF3A34">
        <w:rPr>
          <w:rFonts w:ascii="Arial" w:hAnsi="Arial" w:cs="Arial"/>
          <w:sz w:val="22"/>
          <w:szCs w:val="22"/>
        </w:rPr>
        <w:t xml:space="preserve"> En el caso de interposición de recurso de reposición por el beneficiario de la subvención, se podrán adoptar los siguientes acuerdos:</w:t>
      </w:r>
    </w:p>
    <w:p w:rsidR="00D4245A" w:rsidRPr="00CF3A34" w:rsidRDefault="00D4245A" w:rsidP="003D1DCE">
      <w:pPr>
        <w:jc w:val="both"/>
        <w:rPr>
          <w:rFonts w:ascii="Arial" w:hAnsi="Arial" w:cs="Arial"/>
          <w:sz w:val="22"/>
          <w:szCs w:val="22"/>
        </w:rPr>
      </w:pPr>
      <w:r w:rsidRPr="00CF3A34">
        <w:rPr>
          <w:rFonts w:ascii="Arial" w:hAnsi="Arial" w:cs="Arial"/>
          <w:sz w:val="22"/>
          <w:szCs w:val="22"/>
        </w:rPr>
        <w:t xml:space="preserve">                                                                                                                                                                                                                                                                                                                                                                                                                                                                                                                                                                                                                                                                              </w:t>
      </w:r>
    </w:p>
    <w:p w:rsidR="00D4245A" w:rsidRPr="00CF3A34" w:rsidRDefault="00D4245A" w:rsidP="003D1DCE">
      <w:pPr>
        <w:jc w:val="both"/>
        <w:rPr>
          <w:rFonts w:ascii="Arial" w:hAnsi="Arial" w:cs="Arial"/>
          <w:sz w:val="22"/>
          <w:szCs w:val="22"/>
        </w:rPr>
      </w:pPr>
      <w:r w:rsidRPr="00CF3A34">
        <w:rPr>
          <w:rFonts w:ascii="Arial" w:hAnsi="Arial" w:cs="Arial"/>
          <w:sz w:val="22"/>
          <w:szCs w:val="22"/>
        </w:rPr>
        <w:tab/>
        <w:t xml:space="preserve">1.- Estimar total o parcialmente las alegaciones  interpuestas por el beneficiario de la subvención, en relación al acto impugnado. </w:t>
      </w:r>
    </w:p>
    <w:p w:rsidR="00D4245A" w:rsidRPr="00CF3A34" w:rsidRDefault="00D4245A" w:rsidP="003D1DCE">
      <w:pPr>
        <w:jc w:val="both"/>
        <w:rPr>
          <w:rFonts w:ascii="Arial" w:hAnsi="Arial" w:cs="Arial"/>
          <w:sz w:val="22"/>
          <w:szCs w:val="22"/>
        </w:rPr>
      </w:pPr>
    </w:p>
    <w:p w:rsidR="00D4245A" w:rsidRPr="00CF3A34" w:rsidRDefault="00D4245A" w:rsidP="003D1DCE">
      <w:pPr>
        <w:jc w:val="both"/>
        <w:rPr>
          <w:rFonts w:ascii="Arial" w:hAnsi="Arial" w:cs="Arial"/>
          <w:sz w:val="22"/>
          <w:szCs w:val="22"/>
        </w:rPr>
      </w:pPr>
      <w:r w:rsidRPr="00CF3A34">
        <w:rPr>
          <w:rFonts w:ascii="Arial" w:hAnsi="Arial" w:cs="Arial"/>
          <w:sz w:val="22"/>
          <w:szCs w:val="22"/>
        </w:rPr>
        <w:tab/>
        <w:t xml:space="preserve">2.-No estimar las alegaciones interpuestas por el beneficiario de la subvención. </w:t>
      </w:r>
    </w:p>
    <w:p w:rsidR="00D4245A" w:rsidRPr="00CF3A34" w:rsidRDefault="00D4245A" w:rsidP="003D1DCE">
      <w:pPr>
        <w:jc w:val="both"/>
        <w:rPr>
          <w:rFonts w:ascii="Arial" w:hAnsi="Arial" w:cs="Arial"/>
          <w:sz w:val="22"/>
          <w:szCs w:val="22"/>
        </w:rPr>
      </w:pPr>
      <w:r w:rsidRPr="00CF3A34">
        <w:rPr>
          <w:rFonts w:ascii="Arial" w:hAnsi="Arial" w:cs="Arial"/>
          <w:sz w:val="22"/>
          <w:szCs w:val="22"/>
        </w:rPr>
        <w:tab/>
      </w:r>
    </w:p>
    <w:p w:rsidR="00D4245A" w:rsidRPr="00CF3A34" w:rsidRDefault="00D4245A" w:rsidP="003D1DCE">
      <w:pPr>
        <w:jc w:val="both"/>
        <w:rPr>
          <w:rFonts w:ascii="Arial" w:hAnsi="Arial" w:cs="Arial"/>
          <w:sz w:val="22"/>
          <w:szCs w:val="22"/>
        </w:rPr>
      </w:pPr>
      <w:r w:rsidRPr="00CF3A34">
        <w:rPr>
          <w:rFonts w:ascii="Arial" w:hAnsi="Arial" w:cs="Arial"/>
          <w:sz w:val="22"/>
          <w:szCs w:val="22"/>
        </w:rPr>
        <w:tab/>
        <w:t>En ambos casos, la resolución del recurso deberá ser remitida  al Servicio Administrativo de Gestión Financiera y Tesorería, junto con una copia de la notificación practicada. (En el caso  de no resolver expresamente el recurso planteado, habrá que comunicarlo al Servicio Administrativo de Gestión Financiera y Tesorería poniendo de manifiesto los efectos del silencio administrativo)</w:t>
      </w:r>
    </w:p>
    <w:p w:rsidR="00D4245A" w:rsidRPr="00CF3A34" w:rsidRDefault="00D4245A" w:rsidP="003D1DCE">
      <w:pPr>
        <w:jc w:val="both"/>
        <w:rPr>
          <w:rFonts w:ascii="Arial" w:hAnsi="Arial" w:cs="Arial"/>
          <w:b/>
          <w:bCs/>
          <w:sz w:val="22"/>
          <w:szCs w:val="22"/>
        </w:rPr>
      </w:pPr>
    </w:p>
    <w:p w:rsidR="00D4245A" w:rsidRPr="00CF3A34" w:rsidRDefault="00D4245A" w:rsidP="003D1DCE">
      <w:pPr>
        <w:jc w:val="both"/>
        <w:rPr>
          <w:rFonts w:ascii="Arial" w:hAnsi="Arial" w:cs="Arial"/>
          <w:sz w:val="22"/>
          <w:szCs w:val="22"/>
        </w:rPr>
      </w:pPr>
      <w:r w:rsidRPr="00CF3A34">
        <w:rPr>
          <w:rFonts w:ascii="Arial" w:hAnsi="Arial" w:cs="Arial"/>
          <w:b/>
          <w:bCs/>
          <w:sz w:val="22"/>
          <w:szCs w:val="22"/>
        </w:rPr>
        <w:tab/>
        <w:t>OCTAVO.-</w:t>
      </w:r>
      <w:r w:rsidRPr="00CF3A34">
        <w:rPr>
          <w:rFonts w:ascii="Arial" w:hAnsi="Arial" w:cs="Arial"/>
          <w:sz w:val="22"/>
          <w:szCs w:val="22"/>
        </w:rPr>
        <w:t xml:space="preserve"> La interposición del recurso no suspende la ejecución del acto impugnado, salvo que el órgano competente para resolver el recurso acuerde la suspensión, de oficio o a solicitud  del recurrente, en los términos  del artículo 111 de la ley 39/1992, de noviembre, Ley de Régimen  Jurídico  y del Procedimiento Administrativo Común.</w:t>
      </w:r>
    </w:p>
    <w:p w:rsidR="00D4245A" w:rsidRPr="00CF3A34" w:rsidRDefault="00D4245A" w:rsidP="003D1DCE">
      <w:pPr>
        <w:jc w:val="both"/>
        <w:rPr>
          <w:rFonts w:ascii="Arial" w:hAnsi="Arial" w:cs="Arial"/>
          <w:sz w:val="22"/>
          <w:szCs w:val="22"/>
        </w:rPr>
      </w:pPr>
      <w:r w:rsidRPr="00CF3A34">
        <w:rPr>
          <w:rFonts w:ascii="Arial" w:hAnsi="Arial" w:cs="Arial"/>
          <w:sz w:val="22"/>
          <w:szCs w:val="22"/>
        </w:rPr>
        <w:tab/>
      </w:r>
    </w:p>
    <w:p w:rsidR="00D4245A" w:rsidRPr="00CF3A34" w:rsidRDefault="00D4245A" w:rsidP="003D1DCE">
      <w:pPr>
        <w:jc w:val="both"/>
        <w:rPr>
          <w:rFonts w:ascii="Arial" w:hAnsi="Arial" w:cs="Arial"/>
          <w:sz w:val="22"/>
          <w:szCs w:val="22"/>
        </w:rPr>
      </w:pPr>
      <w:r w:rsidRPr="00CF3A34">
        <w:rPr>
          <w:rFonts w:ascii="Arial" w:hAnsi="Arial" w:cs="Arial"/>
          <w:sz w:val="22"/>
          <w:szCs w:val="22"/>
        </w:rPr>
        <w:tab/>
        <w:t xml:space="preserve">En el supuesto de acordar la suspensión del acto impugnado, se deberán realizar las siguientes actuaciones:  </w:t>
      </w:r>
    </w:p>
    <w:p w:rsidR="00D4245A" w:rsidRPr="00CF3A34" w:rsidRDefault="00D4245A" w:rsidP="003D1DCE">
      <w:pPr>
        <w:jc w:val="both"/>
        <w:rPr>
          <w:rFonts w:ascii="Arial" w:hAnsi="Arial" w:cs="Arial"/>
          <w:sz w:val="22"/>
          <w:szCs w:val="22"/>
        </w:rPr>
      </w:pPr>
    </w:p>
    <w:p w:rsidR="00D4245A" w:rsidRPr="00CF3A34" w:rsidRDefault="00D4245A" w:rsidP="003D1DCE">
      <w:pPr>
        <w:jc w:val="both"/>
        <w:rPr>
          <w:rFonts w:ascii="Arial" w:hAnsi="Arial" w:cs="Arial"/>
          <w:sz w:val="22"/>
          <w:szCs w:val="22"/>
        </w:rPr>
      </w:pPr>
      <w:r w:rsidRPr="00CF3A34">
        <w:rPr>
          <w:rFonts w:ascii="Arial" w:hAnsi="Arial" w:cs="Arial"/>
          <w:sz w:val="22"/>
          <w:szCs w:val="22"/>
        </w:rPr>
        <w:tab/>
        <w:t>A) Remitir al Servicio Administrativo de Gestión Financiera y Tesorería la resolución/acuerdo  resolviendo expresamente sobre la misma, al objeto de paralizar la ejecución,  de haber resuelto en ese sentido, remisión que se deberá efectuarse en el mismo día  en que se acuerde la suspensión.</w:t>
      </w:r>
    </w:p>
    <w:p w:rsidR="00D4245A" w:rsidRPr="00CF3A34" w:rsidRDefault="00D4245A" w:rsidP="003D1DCE">
      <w:pPr>
        <w:jc w:val="both"/>
        <w:rPr>
          <w:rFonts w:ascii="Arial" w:hAnsi="Arial" w:cs="Arial"/>
          <w:sz w:val="22"/>
          <w:szCs w:val="22"/>
        </w:rPr>
      </w:pPr>
    </w:p>
    <w:p w:rsidR="00D4245A" w:rsidRPr="00CF3A34" w:rsidRDefault="00D4245A" w:rsidP="003D1DCE">
      <w:pPr>
        <w:jc w:val="both"/>
        <w:rPr>
          <w:rFonts w:ascii="Arial" w:hAnsi="Arial" w:cs="Arial"/>
          <w:sz w:val="22"/>
          <w:szCs w:val="22"/>
        </w:rPr>
      </w:pPr>
      <w:r w:rsidRPr="00CF3A34">
        <w:rPr>
          <w:rFonts w:ascii="Arial" w:hAnsi="Arial" w:cs="Arial"/>
          <w:sz w:val="22"/>
          <w:szCs w:val="22"/>
        </w:rPr>
        <w:tab/>
        <w:t>B) En el caso  de no haber resuelto expresamente la suspensión de la ejecución del acto impugnado, y haber sido esta solicitada por el beneficiario, deberá remitir oficio al Servicio Administrativo de Gestión Financiera y Tesorería poniendo de manifiesto los efectos positivos del silencio administrativo, debiéndose por tanto suspender la ejecución del acto tal y como está  previsto en el artículo 111 de la Ley 30/1992 LRJAP-LPC, remisión que deberá realizarse el mismo día en el que de acuerdo con la ley de referencia se produzcan los efectos del silencio.</w:t>
      </w:r>
    </w:p>
    <w:p w:rsidR="00D4245A" w:rsidRPr="00CF3A34" w:rsidRDefault="00D4245A" w:rsidP="003D1DCE">
      <w:pPr>
        <w:jc w:val="both"/>
        <w:rPr>
          <w:rFonts w:ascii="Arial" w:hAnsi="Arial" w:cs="Arial"/>
          <w:sz w:val="22"/>
          <w:szCs w:val="22"/>
        </w:rPr>
      </w:pPr>
    </w:p>
    <w:p w:rsidR="00D4245A" w:rsidRPr="00CF3A34" w:rsidRDefault="00D4245A" w:rsidP="003D1DCE">
      <w:pPr>
        <w:jc w:val="both"/>
        <w:rPr>
          <w:rFonts w:ascii="Arial" w:hAnsi="Arial" w:cs="Arial"/>
          <w:sz w:val="22"/>
          <w:szCs w:val="22"/>
        </w:rPr>
      </w:pPr>
      <w:r w:rsidRPr="00CF3A34">
        <w:rPr>
          <w:rFonts w:ascii="Arial" w:hAnsi="Arial" w:cs="Arial"/>
          <w:b/>
          <w:bCs/>
          <w:sz w:val="22"/>
          <w:szCs w:val="22"/>
        </w:rPr>
        <w:tab/>
        <w:t>NOVENO.-</w:t>
      </w:r>
      <w:r w:rsidRPr="00CF3A34">
        <w:rPr>
          <w:rFonts w:ascii="Arial" w:hAnsi="Arial" w:cs="Arial"/>
          <w:sz w:val="22"/>
          <w:szCs w:val="22"/>
        </w:rPr>
        <w:t xml:space="preserve"> El Servicio  de Gestión Financiera y Tesorería realizará las gestiones necesarias para la recaudación  de las cantidades percibidas indebidamente, de acuerdo al procedimiento establecido en el Reglamento General de Recaudación y demás normativa de aplicación.” </w:t>
      </w:r>
    </w:p>
    <w:p w:rsidR="00D4245A" w:rsidRPr="00C705AF" w:rsidRDefault="00D4245A" w:rsidP="003D1DCE">
      <w:pPr>
        <w:autoSpaceDE w:val="0"/>
        <w:autoSpaceDN w:val="0"/>
        <w:adjustRightInd w:val="0"/>
        <w:jc w:val="both"/>
      </w:pPr>
    </w:p>
    <w:sectPr w:rsidR="00D4245A" w:rsidRPr="00C705AF" w:rsidSect="00542813">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45A" w:rsidRDefault="00D4245A">
      <w:r>
        <w:separator/>
      </w:r>
    </w:p>
  </w:endnote>
  <w:endnote w:type="continuationSeparator" w:id="0">
    <w:p w:rsidR="00D4245A" w:rsidRDefault="00D42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45A" w:rsidRDefault="00D4245A">
      <w:r>
        <w:separator/>
      </w:r>
    </w:p>
  </w:footnote>
  <w:footnote w:type="continuationSeparator" w:id="0">
    <w:p w:rsidR="00D4245A" w:rsidRDefault="00D42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45A" w:rsidRPr="003D1DCE" w:rsidRDefault="00D4245A" w:rsidP="003D1DCE">
    <w:pPr>
      <w:pStyle w:val="Header"/>
    </w:pPr>
    <w:r w:rsidRPr="00F708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alt="Logo" style="width:41.4pt;height:56.4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5AF"/>
    <w:rsid w:val="0009648D"/>
    <w:rsid w:val="00196ABD"/>
    <w:rsid w:val="002F0003"/>
    <w:rsid w:val="00397265"/>
    <w:rsid w:val="003D1DCE"/>
    <w:rsid w:val="003F1330"/>
    <w:rsid w:val="004845CD"/>
    <w:rsid w:val="004E7376"/>
    <w:rsid w:val="00542813"/>
    <w:rsid w:val="00586237"/>
    <w:rsid w:val="005D670A"/>
    <w:rsid w:val="00633263"/>
    <w:rsid w:val="00745180"/>
    <w:rsid w:val="007F4B31"/>
    <w:rsid w:val="00B05EC5"/>
    <w:rsid w:val="00BB606C"/>
    <w:rsid w:val="00C05B4D"/>
    <w:rsid w:val="00C705AF"/>
    <w:rsid w:val="00C83131"/>
    <w:rsid w:val="00CA2D34"/>
    <w:rsid w:val="00CF3A34"/>
    <w:rsid w:val="00D4245A"/>
    <w:rsid w:val="00D82BC6"/>
    <w:rsid w:val="00EC0F87"/>
    <w:rsid w:val="00F7086A"/>
    <w:rsid w:val="00FB5FA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81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DCE"/>
    <w:pPr>
      <w:tabs>
        <w:tab w:val="center" w:pos="4252"/>
        <w:tab w:val="right" w:pos="8504"/>
      </w:tabs>
    </w:pPr>
  </w:style>
  <w:style w:type="character" w:customStyle="1" w:styleId="HeaderChar">
    <w:name w:val="Header Char"/>
    <w:basedOn w:val="DefaultParagraphFont"/>
    <w:link w:val="Header"/>
    <w:uiPriority w:val="99"/>
    <w:semiHidden/>
    <w:rsid w:val="00493979"/>
    <w:rPr>
      <w:sz w:val="24"/>
      <w:szCs w:val="24"/>
    </w:rPr>
  </w:style>
  <w:style w:type="character" w:styleId="PageNumber">
    <w:name w:val="page number"/>
    <w:basedOn w:val="DefaultParagraphFont"/>
    <w:uiPriority w:val="99"/>
    <w:rsid w:val="003D1DCE"/>
  </w:style>
  <w:style w:type="paragraph" w:styleId="BodyText">
    <w:name w:val="Body Text"/>
    <w:basedOn w:val="Normal"/>
    <w:link w:val="BodyTextChar"/>
    <w:uiPriority w:val="99"/>
    <w:rsid w:val="003D1DCE"/>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493979"/>
    <w:rPr>
      <w:sz w:val="24"/>
      <w:szCs w:val="24"/>
    </w:rPr>
  </w:style>
  <w:style w:type="paragraph" w:styleId="NormalWeb">
    <w:name w:val="Normal (Web)"/>
    <w:basedOn w:val="Normal"/>
    <w:uiPriority w:val="99"/>
    <w:rsid w:val="003D1DCE"/>
    <w:pPr>
      <w:spacing w:before="100" w:beforeAutospacing="1" w:after="100" w:afterAutospacing="1"/>
    </w:pPr>
    <w:rPr>
      <w:rFonts w:ascii="Verdana" w:hAnsi="Verdana" w:cs="Verdana"/>
      <w:color w:val="000000"/>
      <w:sz w:val="17"/>
      <w:szCs w:val="17"/>
      <w:lang w:eastAsia="ko-KR"/>
    </w:rPr>
  </w:style>
  <w:style w:type="paragraph" w:styleId="Footer">
    <w:name w:val="footer"/>
    <w:basedOn w:val="Normal"/>
    <w:link w:val="FooterChar"/>
    <w:uiPriority w:val="99"/>
    <w:rsid w:val="003D1DCE"/>
    <w:pPr>
      <w:tabs>
        <w:tab w:val="center" w:pos="4252"/>
        <w:tab w:val="right" w:pos="8504"/>
      </w:tabs>
    </w:pPr>
  </w:style>
  <w:style w:type="character" w:customStyle="1" w:styleId="FooterChar">
    <w:name w:val="Footer Char"/>
    <w:basedOn w:val="DefaultParagraphFont"/>
    <w:link w:val="Footer"/>
    <w:uiPriority w:val="99"/>
    <w:semiHidden/>
    <w:rsid w:val="00493979"/>
    <w:rPr>
      <w:sz w:val="24"/>
      <w:szCs w:val="24"/>
    </w:rPr>
  </w:style>
  <w:style w:type="table" w:styleId="TableGrid">
    <w:name w:val="Table Grid"/>
    <w:basedOn w:val="TableNormal"/>
    <w:uiPriority w:val="99"/>
    <w:rsid w:val="00EC0F87"/>
    <w:pPr>
      <w:spacing w:line="36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9648D"/>
    <w:rPr>
      <w:rFonts w:ascii="Tahoma" w:hAnsi="Tahoma" w:cs="Tahoma"/>
      <w:sz w:val="16"/>
      <w:szCs w:val="16"/>
    </w:rPr>
  </w:style>
  <w:style w:type="character" w:customStyle="1" w:styleId="BalloonTextChar">
    <w:name w:val="Balloon Text Char"/>
    <w:basedOn w:val="DefaultParagraphFont"/>
    <w:link w:val="BalloonText"/>
    <w:uiPriority w:val="99"/>
    <w:locked/>
    <w:rsid w:val="000964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1179</Words>
  <Characters>6485</Characters>
  <Application>Microsoft Office Outlook</Application>
  <DocSecurity>0</DocSecurity>
  <Lines>0</Lines>
  <Paragraphs>0</Paragraphs>
  <ScaleCrop>false</ScaleCrop>
  <Company>Cabildo Insular de Tenerife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ARosales</dc:creator>
  <cp:keywords/>
  <dc:description/>
  <cp:lastModifiedBy>Cabildo de Tenerife</cp:lastModifiedBy>
  <cp:revision>4</cp:revision>
  <dcterms:created xsi:type="dcterms:W3CDTF">2018-11-04T11:45:00Z</dcterms:created>
  <dcterms:modified xsi:type="dcterms:W3CDTF">2018-11-05T14:26:00Z</dcterms:modified>
</cp:coreProperties>
</file>