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877" w:rsidRPr="00BE6D74" w:rsidRDefault="000B5CAE" w:rsidP="00E42877">
      <w:pPr>
        <w:tabs>
          <w:tab w:val="center" w:pos="3969"/>
        </w:tabs>
        <w:spacing w:before="240" w:after="0" w:line="240" w:lineRule="auto"/>
        <w:ind w:left="708"/>
        <w:jc w:val="both"/>
        <w:rPr>
          <w:rFonts w:ascii="Verdana" w:hAnsi="Verdana" w:cs="Verdana"/>
          <w:b/>
          <w:bCs/>
          <w:sz w:val="24"/>
          <w:szCs w:val="24"/>
          <w:lang w:val="es-ES_tradnl" w:eastAsia="es-ES"/>
        </w:rPr>
      </w:pPr>
      <w:r>
        <w:rPr>
          <w:rFonts w:ascii="Verdana" w:hAnsi="Verdana" w:cs="Verdana"/>
          <w:b/>
          <w:bCs/>
          <w:sz w:val="24"/>
          <w:szCs w:val="24"/>
          <w:lang w:val="es-ES_tradnl" w:eastAsia="es-ES"/>
        </w:rPr>
        <w:tab/>
      </w:r>
      <w:r w:rsidR="008D10E0">
        <w:rPr>
          <w:rFonts w:ascii="Verdana" w:hAnsi="Verdana" w:cs="Verdana"/>
          <w:b/>
          <w:bCs/>
          <w:lang w:val="es-ES_tradnl" w:eastAsia="es-ES"/>
        </w:rPr>
        <w:t>SESIÓN EXTRAORDINARIA, CON RÉGIMEN JURÍDICO PROPIO DE ORDINARIA</w:t>
      </w:r>
      <w:r w:rsidR="008651A4" w:rsidRPr="006244DB">
        <w:rPr>
          <w:rFonts w:ascii="Verdana" w:hAnsi="Verdana" w:cs="Verdana"/>
          <w:b/>
          <w:bCs/>
          <w:lang w:val="es-ES_tradnl" w:eastAsia="es-ES"/>
        </w:rPr>
        <w:t xml:space="preserve">, DE LA EXCMA. CORPORACIÓN INSULAR EN PLENO, A CELEBRAR DE FORMA MIXTA PRESENCIAL-TELEMÁTICA, EL DÍA </w:t>
      </w:r>
      <w:r w:rsidR="008D10E0">
        <w:rPr>
          <w:rFonts w:ascii="Verdana" w:hAnsi="Verdana" w:cs="Verdana"/>
          <w:b/>
          <w:bCs/>
          <w:lang w:val="es-ES_tradnl" w:eastAsia="es-ES"/>
        </w:rPr>
        <w:t>12</w:t>
      </w:r>
      <w:r w:rsidR="008651A4">
        <w:rPr>
          <w:rFonts w:ascii="Verdana" w:hAnsi="Verdana" w:cs="Verdana"/>
          <w:b/>
          <w:bCs/>
          <w:lang w:val="es-ES_tradnl" w:eastAsia="es-ES"/>
        </w:rPr>
        <w:t xml:space="preserve"> </w:t>
      </w:r>
      <w:r w:rsidR="008651A4" w:rsidRPr="006244DB">
        <w:rPr>
          <w:rFonts w:ascii="Verdana" w:hAnsi="Verdana" w:cs="Verdana"/>
          <w:b/>
          <w:bCs/>
          <w:lang w:val="es-ES_tradnl" w:eastAsia="es-ES"/>
        </w:rPr>
        <w:t xml:space="preserve">DE </w:t>
      </w:r>
      <w:r w:rsidR="008D10E0">
        <w:rPr>
          <w:rFonts w:ascii="Verdana" w:hAnsi="Verdana" w:cs="Verdana"/>
          <w:b/>
          <w:bCs/>
          <w:lang w:val="es-ES_tradnl" w:eastAsia="es-ES"/>
        </w:rPr>
        <w:t>JUNIO</w:t>
      </w:r>
      <w:r w:rsidR="008651A4" w:rsidRPr="006244DB">
        <w:rPr>
          <w:rFonts w:ascii="Verdana" w:hAnsi="Verdana" w:cs="Verdana"/>
          <w:b/>
          <w:bCs/>
          <w:lang w:val="es-ES_tradnl" w:eastAsia="es-ES"/>
        </w:rPr>
        <w:t xml:space="preserve"> DE 2020, A LAS 10:00 HORAS.</w:t>
      </w:r>
    </w:p>
    <w:p w:rsidR="004C5B0B" w:rsidRPr="00BE6D74" w:rsidRDefault="00C6357E" w:rsidP="002D5052">
      <w:pPr>
        <w:pBdr>
          <w:bottom w:val="single" w:sz="6" w:space="1" w:color="auto"/>
        </w:pBdr>
        <w:spacing w:after="360"/>
        <w:ind w:left="2835" w:right="2835"/>
        <w:jc w:val="both"/>
        <w:rPr>
          <w:rFonts w:ascii="Verdana" w:hAnsi="Verdana" w:cs="Verdana"/>
          <w:b/>
          <w:bCs/>
          <w:sz w:val="24"/>
          <w:szCs w:val="24"/>
        </w:rPr>
      </w:pPr>
      <w:r w:rsidRPr="00C6357E">
        <w:rPr>
          <w:rFonts w:ascii="Verdana" w:eastAsia="Times New Roman" w:hAnsi="Verdana" w:cs="Arial"/>
          <w:noProof/>
          <w:sz w:val="24"/>
          <w:szCs w:val="24"/>
          <w:lang w:eastAsia="es-ES"/>
        </w:rPr>
        <w:pict>
          <v:line id="_x0000_s1026" style="position:absolute;left:0;text-align:left;z-index:251658240" from="35.7pt,8.3pt" to="425.4pt,8.3pt" o:allowincell="f"/>
        </w:pict>
      </w:r>
      <w:bookmarkStart w:id="0" w:name="ASUNTOSCUERPO"/>
      <w:r w:rsidR="004C5B0B" w:rsidRPr="00BE6D74">
        <w:rPr>
          <w:rFonts w:ascii="Verdana" w:hAnsi="Verdana" w:cs="Verdana"/>
          <w:b/>
          <w:bCs/>
          <w:sz w:val="24"/>
          <w:szCs w:val="24"/>
        </w:rPr>
        <w:t xml:space="preserve"> </w:t>
      </w:r>
    </w:p>
    <w:p w:rsidR="004C5B0B" w:rsidRPr="00BE6D74" w:rsidRDefault="004C5B0B" w:rsidP="002E262A">
      <w:pPr>
        <w:pBdr>
          <w:bottom w:val="single" w:sz="6" w:space="1" w:color="auto"/>
        </w:pBdr>
        <w:spacing w:before="480" w:after="480"/>
        <w:ind w:left="2835" w:right="2835"/>
        <w:jc w:val="center"/>
        <w:rPr>
          <w:rFonts w:ascii="Verdana" w:hAnsi="Verdana" w:cs="Verdana"/>
          <w:b/>
          <w:bCs/>
          <w:sz w:val="24"/>
          <w:szCs w:val="24"/>
        </w:rPr>
      </w:pPr>
      <w:r w:rsidRPr="00BE6D74">
        <w:rPr>
          <w:rFonts w:ascii="Verdana" w:hAnsi="Verdana" w:cs="Verdana"/>
          <w:b/>
          <w:bCs/>
          <w:sz w:val="24"/>
          <w:szCs w:val="24"/>
        </w:rPr>
        <w:t>ORDEN DEL DÍA</w:t>
      </w:r>
    </w:p>
    <w:bookmarkEnd w:id="0"/>
    <w:p w:rsidR="008651A4" w:rsidRDefault="008651A4" w:rsidP="008651A4">
      <w:pPr>
        <w:spacing w:before="840" w:after="480"/>
        <w:ind w:firstLine="567"/>
        <w:jc w:val="both"/>
        <w:rPr>
          <w:rFonts w:ascii="Verdana" w:hAnsi="Verdana" w:cs="Verdana"/>
          <w:b/>
          <w:bCs/>
        </w:rPr>
      </w:pPr>
      <w:r w:rsidRPr="003D71A9">
        <w:rPr>
          <w:rFonts w:ascii="Verdana" w:hAnsi="Verdana" w:cs="Verdana"/>
          <w:b/>
          <w:bCs/>
        </w:rPr>
        <w:t xml:space="preserve">I.- PARTE </w:t>
      </w:r>
      <w:r w:rsidRPr="003D71A9">
        <w:rPr>
          <w:rFonts w:ascii="Verdana" w:hAnsi="Verdana" w:cs="Verdana"/>
          <w:b/>
          <w:bCs/>
          <w:lang w:eastAsia="es-ES"/>
        </w:rPr>
        <w:t>RESOLUTIVA</w:t>
      </w:r>
      <w:r w:rsidRPr="003D71A9">
        <w:rPr>
          <w:rFonts w:ascii="Verdana" w:hAnsi="Verdana" w:cs="Verdana"/>
          <w:b/>
          <w:bCs/>
        </w:rPr>
        <w:t>.</w:t>
      </w:r>
    </w:p>
    <w:p w:rsidR="00971C8F" w:rsidRPr="00903C41" w:rsidRDefault="00971C8F" w:rsidP="00971C8F">
      <w:pPr>
        <w:spacing w:before="480" w:after="480"/>
        <w:ind w:firstLine="567"/>
        <w:jc w:val="both"/>
        <w:rPr>
          <w:color w:val="000000" w:themeColor="text1"/>
        </w:rPr>
      </w:pPr>
      <w:r w:rsidRPr="00903C41">
        <w:rPr>
          <w:rFonts w:ascii="Verdana" w:hAnsi="Verdana" w:cs="Verdana"/>
          <w:b/>
          <w:bCs/>
          <w:color w:val="000000" w:themeColor="text1"/>
        </w:rPr>
        <w:t>a) Aprobación de actas anteriores.</w:t>
      </w:r>
      <w:r w:rsidRPr="00903C41">
        <w:rPr>
          <w:color w:val="000000" w:themeColor="text1"/>
        </w:rPr>
        <w:t xml:space="preserve"> </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 xml:space="preserve">1.- </w:t>
      </w:r>
      <w:r w:rsidRPr="00903C41">
        <w:rPr>
          <w:rFonts w:ascii="Verdana" w:hAnsi="Verdana" w:cs="Times New Roman"/>
          <w:color w:val="000000" w:themeColor="text1"/>
          <w:lang w:eastAsia="es-ES"/>
        </w:rPr>
        <w:t>Lectura y aprobación, si procede, del borrador del acta de la sesión extraordinaria y urgente del día 7 de mayo de 2020.</w:t>
      </w:r>
    </w:p>
    <w:p w:rsidR="00971C8F" w:rsidRPr="00903C41" w:rsidRDefault="00971C8F" w:rsidP="00971C8F">
      <w:pPr>
        <w:spacing w:before="360" w:after="360"/>
        <w:ind w:firstLine="567"/>
        <w:jc w:val="both"/>
        <w:rPr>
          <w:rFonts w:ascii="Verdana" w:hAnsi="Verdana" w:cs="Verdana"/>
          <w:b/>
          <w:bCs/>
          <w:color w:val="000000" w:themeColor="text1"/>
        </w:rPr>
      </w:pPr>
      <w:r w:rsidRPr="00903C41">
        <w:rPr>
          <w:rFonts w:ascii="Verdana" w:hAnsi="Verdana" w:cs="Verdana"/>
          <w:b/>
          <w:bCs/>
          <w:color w:val="000000" w:themeColor="text1"/>
        </w:rPr>
        <w:t>b) Dación de cuenta de Acuerdos y Resoluciones de otros órganos de la Corporación.</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ÁREA DE PRESIDENCIA, HACIENDA Y MODERNIZACIÓN.</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Secretaría General del Pleno.</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2.-</w:t>
      </w:r>
      <w:r w:rsidRPr="00903C41">
        <w:rPr>
          <w:rFonts w:ascii="Verdana" w:hAnsi="Verdana" w:cs="Times New Roman"/>
          <w:color w:val="000000" w:themeColor="text1"/>
          <w:lang w:eastAsia="es-ES"/>
        </w:rPr>
        <w:t xml:space="preserve"> Dación de cuenta del escrito del Grupo Nacionalista de Coalición Canaria-PNC, relativo a la modificación de la adscripción de sus miembros a las Comisiones Plenarias Permanentes.</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Vicesecretaría General.</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3.-</w:t>
      </w:r>
      <w:r w:rsidRPr="00903C41">
        <w:rPr>
          <w:rFonts w:ascii="Verdana" w:hAnsi="Verdana" w:cs="Times New Roman"/>
          <w:color w:val="000000" w:themeColor="text1"/>
          <w:lang w:eastAsia="es-ES"/>
        </w:rPr>
        <w:t xml:space="preserve"> Dación de cuenta de los Decretos y Resoluciones de los órganos unipersonales superiores y directivos de la Administración Insular, dictados en el mes de abril de 2020, en cumplimiento de lo previsto en el artículo 62 del R.O.F.</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DIRECCIÓN INSULAR DE RECURSOS HUMANOS Y ASESORÍA JURÍDICA.</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lastRenderedPageBreak/>
        <w:t>Servicio Administrativo de Régimen Jurídico, Relaciones Sindicales y Sector Público.</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4.-</w:t>
      </w:r>
      <w:r w:rsidRPr="00903C41">
        <w:rPr>
          <w:rFonts w:ascii="Verdana" w:hAnsi="Verdana" w:cs="Times New Roman"/>
          <w:color w:val="000000" w:themeColor="text1"/>
          <w:lang w:eastAsia="es-ES"/>
        </w:rPr>
        <w:t xml:space="preserve"> Dación de cuenta de Acuerdos de Consejo de Gobierno Insular, de resolución de expedientes de compatibilidad, en el ejercicio de la competencia delegada por Acuerdo Plenario de fecha 30 de octubre de 2015.</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5.-</w:t>
      </w:r>
      <w:r w:rsidRPr="00903C41">
        <w:rPr>
          <w:rFonts w:ascii="Verdana" w:hAnsi="Verdana" w:cs="Times New Roman"/>
          <w:color w:val="000000" w:themeColor="text1"/>
          <w:lang w:eastAsia="es-ES"/>
        </w:rPr>
        <w:t xml:space="preserve"> Dación de cuenta del Acuerdo adoptado por el Consejo de Gobierno Insular, en sesión de 10 de marzo de 2020, por el que se aprueba el “I Plan de Igualdad”.</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Servicio Administrativo de Planificación y Organización de Recursos Humanos.</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6.-</w:t>
      </w:r>
      <w:r w:rsidRPr="00903C41">
        <w:rPr>
          <w:rFonts w:ascii="Verdana" w:hAnsi="Verdana" w:cs="Times New Roman"/>
          <w:color w:val="000000" w:themeColor="text1"/>
          <w:lang w:eastAsia="es-ES"/>
        </w:rPr>
        <w:t xml:space="preserve"> Dación de cuenta del Informe trimestral de cumplimiento de lo previsto en el artículo 104 bis de la Ley 7/1985, de 2 de abril, reguladora de las Bases de Régimen Local, en la redacción dada por la Ley 27/2013, de 27 de diciembre, de Racionalización y Sostenibilidad de la Administración Local.</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DIRECCIÓN INSULAR DE HACIENDA.</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Servicio Administrativo de Análisis Económico, Sostenibilidad y Control Financiero.</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7.-</w:t>
      </w:r>
      <w:r w:rsidRPr="00903C41">
        <w:rPr>
          <w:rFonts w:ascii="Verdana" w:hAnsi="Verdana" w:cs="Times New Roman"/>
          <w:color w:val="000000" w:themeColor="text1"/>
          <w:lang w:eastAsia="es-ES"/>
        </w:rPr>
        <w:t xml:space="preserve"> Dación de cuenta del Informe de Evaluación del cumplimiento de los preceptos contenidos en la Ley Orgánica 2/2012, de 27 de abril, de Estabilidad Presupuestaria y Sostenibilidad Financiera, respecto del Presupuesto General definitivamente aprobado del Excmo. Cabildo Insular de Tenerife para el ejercicio 2020.</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8.-</w:t>
      </w:r>
      <w:r w:rsidRPr="00903C41">
        <w:rPr>
          <w:rFonts w:ascii="Verdana" w:hAnsi="Verdana" w:cs="Times New Roman"/>
          <w:color w:val="000000" w:themeColor="text1"/>
          <w:lang w:eastAsia="es-ES"/>
        </w:rPr>
        <w:t xml:space="preserve"> Dación de cuenta del Informe de Evaluación del cumplimiento de los preceptos de la Ley Orgánica 2/2012, de 27 de abril, de Estabilidad Presupuestaria y Sostenibilidad Financiera, respecto a la liquidación de los Presupuestos y las Cuentas Anuales del ejercicio 2019 del Excmo. Cabildo Insular de Tenerife, de sus Organismos Autónomos y Entes Públicos dependientes y adscritos que consolidan en términos de contabilidad nacional.</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DIRECCIÓN INSULAR DE MODERNIZACIÓN.</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Servicio Administrativo de Informática y Comunicaciones.</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9.-</w:t>
      </w:r>
      <w:r w:rsidRPr="00903C41">
        <w:rPr>
          <w:rFonts w:ascii="Verdana" w:hAnsi="Verdana" w:cs="Times New Roman"/>
          <w:color w:val="000000" w:themeColor="text1"/>
          <w:lang w:eastAsia="es-ES"/>
        </w:rPr>
        <w:t xml:space="preserve"> Dación de cuenta del Acuerdo adoptado por el Consejo de Gobierno Insular, relativo a la adhesión específica del Cabildo Insular de Tenerife al Acuerdo Marco AM 13/2018 “Suministro de servidores, sistemas de almacenamiento y software de infraestructura”, del Sistema Estatal de Contratación Centralizada, de la Dirección General de Racionalización y Centralización de Contratación del Ministerio de Hacienda (expediente nº 41/18) (A-542-2016).</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ÁREA DE EMPLEO, DESARROLLO SOCIOECONÓMICO Y ACCIÓN EXTERIOR.</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Servicio Administrativo de Empleo, Desarrollo Socioeconómico y Comercio.</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Times New Roman"/>
          <w:b/>
          <w:color w:val="000000" w:themeColor="text1"/>
          <w:lang w:eastAsia="es-ES"/>
        </w:rPr>
        <w:t>10.-</w:t>
      </w:r>
      <w:r w:rsidRPr="00903C41">
        <w:rPr>
          <w:rFonts w:ascii="Verdana" w:hAnsi="Verdana" w:cs="Times New Roman"/>
          <w:color w:val="000000" w:themeColor="text1"/>
          <w:lang w:eastAsia="es-ES"/>
        </w:rPr>
        <w:t xml:space="preserve"> Dación de cuenta del Acuerdo de Consejo de Gobierno Insular de fecha 5 de mayo de 2020, relativo al acuerdo de cooperación a suscribir por el Servicio Canario de Empleo y el Excmo. Cabildo Insular de Tenerife, para la coordinación de las actuaciones en materia de empleo de los recursos asignados en el marco del Fondo de Desarrollo de Canarias – FDCAN.</w:t>
      </w:r>
    </w:p>
    <w:p w:rsidR="00971C8F" w:rsidRPr="00903C41" w:rsidRDefault="00971C8F" w:rsidP="00971C8F">
      <w:pPr>
        <w:spacing w:before="360" w:after="360"/>
        <w:ind w:firstLine="567"/>
        <w:jc w:val="both"/>
        <w:rPr>
          <w:rFonts w:ascii="Verdana" w:hAnsi="Verdana" w:cs="Verdana"/>
          <w:b/>
          <w:bCs/>
          <w:color w:val="000000" w:themeColor="text1"/>
        </w:rPr>
      </w:pPr>
      <w:r w:rsidRPr="00903C41">
        <w:rPr>
          <w:rFonts w:ascii="Verdana" w:hAnsi="Verdana" w:cs="Verdana"/>
          <w:b/>
          <w:bCs/>
          <w:color w:val="000000" w:themeColor="text1"/>
          <w:lang w:eastAsia="es-ES"/>
        </w:rPr>
        <w:t xml:space="preserve">c) </w:t>
      </w:r>
      <w:r w:rsidRPr="00903C41">
        <w:rPr>
          <w:rFonts w:ascii="Verdana" w:hAnsi="Verdana" w:cs="Verdana"/>
          <w:b/>
          <w:bCs/>
          <w:color w:val="000000" w:themeColor="text1"/>
        </w:rPr>
        <w:t>Aprobación de los dictámenes de las Comisiones Permanentes del Pleno.</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DIRECCIÓN INSULAR DE HACIENDA.</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Servicio Administrativo de Presupuestos y Gasto Público.</w:t>
      </w:r>
    </w:p>
    <w:p w:rsidR="00971C8F" w:rsidRPr="00903C41" w:rsidRDefault="00971C8F" w:rsidP="00971C8F">
      <w:pPr>
        <w:spacing w:before="360" w:after="360"/>
        <w:ind w:firstLine="567"/>
        <w:jc w:val="both"/>
        <w:rPr>
          <w:rFonts w:ascii="Verdana" w:hAnsi="Verdana" w:cs="Verdana"/>
          <w:bCs/>
          <w:color w:val="000000" w:themeColor="text1"/>
        </w:rPr>
      </w:pPr>
      <w:r w:rsidRPr="00903C41">
        <w:rPr>
          <w:rFonts w:ascii="Verdana" w:hAnsi="Verdana" w:cs="Verdana"/>
          <w:b/>
          <w:bCs/>
          <w:color w:val="000000" w:themeColor="text1"/>
        </w:rPr>
        <w:t xml:space="preserve">11.- </w:t>
      </w:r>
      <w:r w:rsidRPr="00903C41">
        <w:rPr>
          <w:rFonts w:ascii="Verdana" w:hAnsi="Verdana" w:cs="Verdana"/>
          <w:bCs/>
          <w:color w:val="000000" w:themeColor="text1"/>
        </w:rPr>
        <w:t>Dación de cuenta y ratificación del Decreto nº 809, dictado por la Presidencia el 8 de mayo de 2020, de aprobación del expediente de modificación de créditos nº 3 del Presupuesto del Excmo. Cabildo Insular de Tenerife para 2020.</w:t>
      </w:r>
    </w:p>
    <w:p w:rsidR="00971C8F" w:rsidRPr="00903C41" w:rsidRDefault="00971C8F" w:rsidP="00971C8F">
      <w:pPr>
        <w:spacing w:before="360" w:after="360"/>
        <w:ind w:firstLine="567"/>
        <w:jc w:val="both"/>
        <w:rPr>
          <w:rFonts w:ascii="Verdana" w:hAnsi="Verdana" w:cs="Verdana"/>
          <w:b/>
          <w:bCs/>
          <w:color w:val="000000" w:themeColor="text1"/>
        </w:rPr>
      </w:pPr>
      <w:r w:rsidRPr="00903C41">
        <w:rPr>
          <w:rFonts w:ascii="Verdana" w:hAnsi="Verdana" w:cs="Verdana"/>
          <w:b/>
          <w:bCs/>
          <w:color w:val="000000" w:themeColor="text1"/>
        </w:rPr>
        <w:t xml:space="preserve">12.- </w:t>
      </w:r>
      <w:r w:rsidRPr="00903C41">
        <w:rPr>
          <w:rFonts w:ascii="Verdana" w:hAnsi="Verdana" w:cs="Times New Roman"/>
          <w:color w:val="000000" w:themeColor="text1"/>
          <w:lang w:eastAsia="es-ES"/>
        </w:rPr>
        <w:t>Dación de cuenta y ratificación del Decreto nº 806, dictado por la Presidencia el 6 de mayo de 2020, de aprobación del expediente de modificación de créditos nº 4 del Presupuesto del Excmo. Cabildo Insular de Tenerife para 2020.</w:t>
      </w:r>
    </w:p>
    <w:p w:rsidR="00971C8F" w:rsidRPr="00903C41" w:rsidRDefault="00971C8F" w:rsidP="00971C8F">
      <w:pPr>
        <w:spacing w:before="360" w:after="360"/>
        <w:ind w:firstLine="567"/>
        <w:jc w:val="both"/>
        <w:rPr>
          <w:rFonts w:ascii="Verdana" w:hAnsi="Verdana" w:cs="Verdana"/>
          <w:b/>
          <w:bCs/>
          <w:color w:val="000000" w:themeColor="text1"/>
        </w:rPr>
      </w:pPr>
      <w:r w:rsidRPr="00903C41">
        <w:rPr>
          <w:rFonts w:ascii="Verdana" w:hAnsi="Verdana" w:cs="Verdana"/>
          <w:b/>
          <w:bCs/>
          <w:color w:val="000000" w:themeColor="text1"/>
        </w:rPr>
        <w:t xml:space="preserve">13.- </w:t>
      </w:r>
      <w:r w:rsidRPr="00903C41">
        <w:rPr>
          <w:rFonts w:ascii="Verdana" w:hAnsi="Verdana" w:cs="Times New Roman"/>
          <w:color w:val="000000" w:themeColor="text1"/>
          <w:lang w:eastAsia="es-ES"/>
        </w:rPr>
        <w:t>Dación de cuenta y ratificación del Decreto nº 808, dictado por la Presidencia el 8 de mayo de 2020, de aprobación del expediente de autorización de transferencia de crédito nº 1, de operaciones de capital a operaciones corrientes, del Presupuesto del Excmo. Cabildo Insular de Tenerife para 2020.</w:t>
      </w:r>
    </w:p>
    <w:p w:rsidR="00971C8F" w:rsidRPr="00903C41" w:rsidRDefault="00971C8F" w:rsidP="00971C8F">
      <w:pPr>
        <w:spacing w:before="360" w:after="360"/>
        <w:ind w:firstLine="567"/>
        <w:jc w:val="both"/>
        <w:rPr>
          <w:rFonts w:ascii="Verdana" w:hAnsi="Verdana" w:cs="Verdana"/>
          <w:b/>
          <w:bCs/>
          <w:color w:val="000000" w:themeColor="text1"/>
        </w:rPr>
      </w:pPr>
      <w:r w:rsidRPr="00903C41">
        <w:rPr>
          <w:rFonts w:ascii="Verdana" w:hAnsi="Verdana" w:cs="Verdana"/>
          <w:b/>
          <w:bCs/>
          <w:color w:val="000000" w:themeColor="text1"/>
        </w:rPr>
        <w:t xml:space="preserve">14 - </w:t>
      </w:r>
      <w:r w:rsidRPr="00903C41">
        <w:rPr>
          <w:rFonts w:ascii="Verdana" w:hAnsi="Verdana" w:cs="Times New Roman"/>
          <w:color w:val="000000" w:themeColor="text1"/>
          <w:lang w:eastAsia="es-ES"/>
        </w:rPr>
        <w:t>Dación de cuenta y ratificación del Ratificación del Decreto nº 812, dictado por la Presidencia el 15 de mayo de 2020, de aprobación del expediente de autorización de transferencia de crédito nº 2, de operaciones de capital a operaciones corrientes, del Presupuesto del Excmo. Cabildo Insular de Tenerife para 2020.</w:t>
      </w:r>
    </w:p>
    <w:p w:rsidR="00971C8F" w:rsidRPr="00903C41" w:rsidRDefault="00971C8F" w:rsidP="00971C8F">
      <w:pPr>
        <w:spacing w:before="360" w:after="360"/>
        <w:ind w:firstLine="567"/>
        <w:jc w:val="both"/>
        <w:rPr>
          <w:rFonts w:ascii="Verdana" w:hAnsi="Verdana" w:cs="Verdana"/>
          <w:b/>
          <w:bCs/>
          <w:color w:val="000000" w:themeColor="text1"/>
        </w:rPr>
      </w:pPr>
      <w:r w:rsidRPr="00903C41">
        <w:rPr>
          <w:rFonts w:ascii="Verdana" w:hAnsi="Verdana" w:cs="Verdana"/>
          <w:b/>
          <w:bCs/>
          <w:color w:val="000000" w:themeColor="text1"/>
        </w:rPr>
        <w:t xml:space="preserve">15 - </w:t>
      </w:r>
      <w:r w:rsidRPr="00903C41">
        <w:rPr>
          <w:rFonts w:ascii="Verdana" w:hAnsi="Verdana" w:cs="Times New Roman"/>
          <w:color w:val="000000" w:themeColor="text1"/>
          <w:lang w:eastAsia="es-ES"/>
        </w:rPr>
        <w:t>Aprobación inicial del expediente nº 1 de modificación del Anexo II de las Bases de Ejecución del Presupuesto General del Excmo. Cabildo Insular de Tenerife para 2020.</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Verdana"/>
          <w:b/>
          <w:bCs/>
          <w:color w:val="000000" w:themeColor="text1"/>
        </w:rPr>
        <w:t xml:space="preserve">16 - </w:t>
      </w:r>
      <w:r w:rsidRPr="00903C41">
        <w:rPr>
          <w:rFonts w:ascii="Verdana" w:hAnsi="Verdana" w:cs="Times New Roman"/>
          <w:color w:val="000000" w:themeColor="text1"/>
          <w:lang w:eastAsia="es-ES"/>
        </w:rPr>
        <w:t>Aprobación inicial del expediente nº 2 de modificación de créditos del Presupuesto General del Excmo. Cabildo Insular de Tenerife para 2020.</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ÁREA DE PLANIFICACIÓN DEL TERRITORIO, PATRIMONIO HISTÓRICO Y TURISMO.</w:t>
      </w:r>
    </w:p>
    <w:p w:rsidR="00971C8F" w:rsidRPr="00903C41" w:rsidRDefault="00971C8F" w:rsidP="00971C8F">
      <w:pPr>
        <w:spacing w:before="360" w:after="360"/>
        <w:ind w:firstLine="567"/>
        <w:jc w:val="both"/>
        <w:rPr>
          <w:rFonts w:ascii="Verdana" w:hAnsi="Verdana" w:cs="Verdana"/>
          <w:b/>
          <w:bCs/>
          <w:color w:val="000000" w:themeColor="text1"/>
        </w:rPr>
      </w:pPr>
      <w:r w:rsidRPr="00903C41">
        <w:rPr>
          <w:rFonts w:ascii="Verdana" w:hAnsi="Verdana" w:cs="Times New Roman"/>
          <w:b/>
          <w:color w:val="000000" w:themeColor="text1"/>
          <w:u w:val="single"/>
          <w:lang w:eastAsia="es-ES"/>
        </w:rPr>
        <w:t>Oficina de Apoyo Técnico Jurídico a la Comisión de Evaluación Ambiental de Tenerife</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Verdana"/>
          <w:b/>
          <w:bCs/>
          <w:color w:val="000000" w:themeColor="text1"/>
        </w:rPr>
        <w:t xml:space="preserve">17.- </w:t>
      </w:r>
      <w:r w:rsidRPr="00903C41">
        <w:rPr>
          <w:rFonts w:ascii="Verdana" w:hAnsi="Verdana" w:cs="Times New Roman"/>
          <w:color w:val="000000" w:themeColor="text1"/>
          <w:lang w:eastAsia="es-ES"/>
        </w:rPr>
        <w:t>Propuesta de aprobación del Convenio de Colaboración entre el Ayuntamiento de la Villa Histórica de La Victoria de Acentejo y este Excmo.  Cabildo Insular de Tenerife, para la encomienda de los expedientes de evaluación ambiental estratégica municipal al órgano ambiental insular (CEAT).</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Servicio Administrativo de Política Territorial.</w:t>
      </w:r>
    </w:p>
    <w:p w:rsidR="00971C8F" w:rsidRPr="00903C41" w:rsidRDefault="00971C8F" w:rsidP="00971C8F">
      <w:pPr>
        <w:spacing w:before="360" w:after="360"/>
        <w:ind w:firstLine="567"/>
        <w:jc w:val="both"/>
        <w:rPr>
          <w:rFonts w:ascii="Verdana" w:hAnsi="Verdana" w:cs="Verdana"/>
          <w:b/>
          <w:bCs/>
          <w:color w:val="000000" w:themeColor="text1"/>
        </w:rPr>
      </w:pPr>
      <w:r w:rsidRPr="00903C41">
        <w:rPr>
          <w:rFonts w:ascii="Verdana" w:hAnsi="Verdana" w:cs="Verdana"/>
          <w:b/>
          <w:bCs/>
          <w:color w:val="000000" w:themeColor="text1"/>
        </w:rPr>
        <w:t xml:space="preserve">18.- </w:t>
      </w:r>
      <w:r w:rsidRPr="00903C41">
        <w:rPr>
          <w:rFonts w:ascii="Verdana" w:hAnsi="Verdana" w:cs="Times New Roman"/>
          <w:color w:val="000000" w:themeColor="text1"/>
          <w:lang w:eastAsia="es-ES"/>
        </w:rPr>
        <w:t>Resolución expresa del expediente relativo al Proyecto de Actuación Territorial de gran trascendencia de una estación de servicio en Yaco, término municipal de Granadilla de Abona (Exp. 395-2016).</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Verdana"/>
          <w:b/>
          <w:bCs/>
          <w:color w:val="000000" w:themeColor="text1"/>
        </w:rPr>
        <w:t xml:space="preserve">19.- </w:t>
      </w:r>
      <w:r w:rsidRPr="00903C41">
        <w:rPr>
          <w:rFonts w:ascii="Verdana" w:hAnsi="Verdana" w:cs="Times New Roman"/>
          <w:color w:val="000000" w:themeColor="text1"/>
          <w:lang w:eastAsia="es-ES"/>
        </w:rPr>
        <w:t>Expediente relativo a la declaración de interés insular del Proyecto de Interés Insular “El Chorrillo Industrial”, en el término municipal de Santa Cruz de Tenerife. (Exp. 190004).</w:t>
      </w:r>
    </w:p>
    <w:p w:rsidR="00971C8F" w:rsidRPr="00903C41" w:rsidRDefault="00971C8F" w:rsidP="00971C8F">
      <w:pPr>
        <w:spacing w:before="360" w:after="360"/>
        <w:ind w:firstLine="567"/>
        <w:jc w:val="both"/>
        <w:rPr>
          <w:rFonts w:ascii="Verdana" w:hAnsi="Verdana" w:cs="Times New Roman"/>
          <w:color w:val="000000" w:themeColor="text1"/>
          <w:lang w:eastAsia="es-ES"/>
        </w:rPr>
      </w:pPr>
      <w:r w:rsidRPr="00903C41">
        <w:rPr>
          <w:rFonts w:ascii="Verdana" w:hAnsi="Verdana" w:cs="Verdana"/>
          <w:b/>
          <w:bCs/>
          <w:color w:val="000000" w:themeColor="text1"/>
        </w:rPr>
        <w:t xml:space="preserve">20.- </w:t>
      </w:r>
      <w:r w:rsidRPr="00903C41">
        <w:rPr>
          <w:rFonts w:ascii="Verdana" w:hAnsi="Verdana" w:cs="Times New Roman"/>
          <w:color w:val="000000" w:themeColor="text1"/>
          <w:lang w:eastAsia="es-ES"/>
        </w:rPr>
        <w:t>Expediente relativo a la declaración insular sobre la existencia o no de prohibición en el planeamiento insular, y sobre el interés público o social de la actuación de un “Tanatorio-Crematorio”, en el término municipal de Los Realejos” (Exp. 190006).</w:t>
      </w:r>
    </w:p>
    <w:p w:rsidR="00971C8F" w:rsidRPr="00903C41" w:rsidRDefault="00971C8F" w:rsidP="00971C8F">
      <w:pPr>
        <w:spacing w:before="360" w:after="360"/>
        <w:ind w:firstLine="567"/>
        <w:jc w:val="both"/>
        <w:rPr>
          <w:rFonts w:ascii="Verdana" w:hAnsi="Verdana" w:cs="Times New Roman"/>
          <w:b/>
          <w:color w:val="000000" w:themeColor="text1"/>
          <w:u w:val="single"/>
          <w:lang w:eastAsia="es-ES"/>
        </w:rPr>
      </w:pPr>
      <w:r w:rsidRPr="00903C41">
        <w:rPr>
          <w:rFonts w:ascii="Verdana" w:hAnsi="Verdana" w:cs="Times New Roman"/>
          <w:b/>
          <w:color w:val="000000" w:themeColor="text1"/>
          <w:u w:val="single"/>
          <w:lang w:eastAsia="es-ES"/>
        </w:rPr>
        <w:t>d) Oros asuntos de la competencia del Pleno.</w:t>
      </w:r>
    </w:p>
    <w:p w:rsidR="00971C8F" w:rsidRDefault="00971C8F" w:rsidP="00971C8F">
      <w:pPr>
        <w:spacing w:before="840" w:after="480"/>
        <w:ind w:firstLine="567"/>
        <w:jc w:val="both"/>
        <w:rPr>
          <w:rFonts w:ascii="Verdana" w:hAnsi="Verdana" w:cs="Verdana"/>
          <w:b/>
          <w:bCs/>
        </w:rPr>
      </w:pPr>
      <w:r w:rsidRPr="00903C41">
        <w:rPr>
          <w:rFonts w:ascii="Verdana" w:hAnsi="Verdana"/>
          <w:b/>
          <w:bCs/>
          <w:color w:val="000000" w:themeColor="text1"/>
        </w:rPr>
        <w:t>21.-</w:t>
      </w:r>
      <w:r w:rsidRPr="00903C41">
        <w:rPr>
          <w:rFonts w:ascii="Verdana" w:hAnsi="Verdana"/>
          <w:color w:val="000000" w:themeColor="text1"/>
        </w:rPr>
        <w:t xml:space="preserve"> Debate sobre la Orientación General de la Política Insular.</w:t>
      </w:r>
    </w:p>
    <w:p w:rsidR="0054024D" w:rsidRPr="00BE6D74" w:rsidRDefault="0054024D" w:rsidP="008651A4">
      <w:pPr>
        <w:spacing w:before="480" w:after="480"/>
        <w:ind w:firstLine="567"/>
        <w:jc w:val="both"/>
        <w:rPr>
          <w:rFonts w:ascii="Verdana" w:hAnsi="Verdana" w:cs="Verdana"/>
        </w:rPr>
      </w:pPr>
      <w:r w:rsidRPr="00BE6D74">
        <w:rPr>
          <w:rFonts w:ascii="Verdana" w:hAnsi="Verdana" w:cs="Verdana"/>
        </w:rPr>
        <w:t xml:space="preserve">En Santa Cruz de </w:t>
      </w:r>
      <w:r w:rsidRPr="00BE6D74">
        <w:rPr>
          <w:rFonts w:ascii="Verdana" w:hAnsi="Verdana" w:cs="Verdana"/>
          <w:lang w:eastAsia="es-ES"/>
        </w:rPr>
        <w:t>Tenerife</w:t>
      </w:r>
      <w:r w:rsidRPr="00BE6D74">
        <w:rPr>
          <w:rFonts w:ascii="Verdana" w:hAnsi="Verdana" w:cs="Verdana"/>
        </w:rPr>
        <w:t>,</w:t>
      </w:r>
      <w:r w:rsidR="009974C0" w:rsidRPr="00BE6D74">
        <w:rPr>
          <w:rFonts w:ascii="Verdana" w:hAnsi="Verdana" w:cs="Verdana"/>
        </w:rPr>
        <w:t xml:space="preserve"> a </w:t>
      </w:r>
      <w:r w:rsidR="00F63B5A">
        <w:rPr>
          <w:rFonts w:ascii="Verdana" w:hAnsi="Verdana" w:cs="Verdana"/>
        </w:rPr>
        <w:t>29</w:t>
      </w:r>
      <w:r w:rsidR="008651A4">
        <w:rPr>
          <w:rFonts w:ascii="Verdana" w:hAnsi="Verdana" w:cs="Verdana"/>
        </w:rPr>
        <w:t xml:space="preserve"> de mayo</w:t>
      </w:r>
      <w:r w:rsidR="00981DCF">
        <w:rPr>
          <w:rFonts w:ascii="Verdana" w:hAnsi="Verdana" w:cs="Verdana"/>
        </w:rPr>
        <w:t xml:space="preserve"> de 2020</w:t>
      </w:r>
      <w:r w:rsidRPr="00BE6D74">
        <w:rPr>
          <w:rFonts w:ascii="Verdana" w:hAnsi="Verdana" w:cs="Verdana"/>
        </w:rPr>
        <w:t>.</w:t>
      </w:r>
    </w:p>
    <w:p w:rsidR="0030414B" w:rsidRPr="00BE6D74" w:rsidRDefault="0030414B" w:rsidP="008651A4">
      <w:pPr>
        <w:tabs>
          <w:tab w:val="center" w:pos="5529"/>
        </w:tabs>
        <w:spacing w:before="840"/>
        <w:jc w:val="center"/>
        <w:rPr>
          <w:rFonts w:ascii="Verdana" w:hAnsi="Verdana"/>
          <w:b/>
        </w:rPr>
      </w:pPr>
      <w:r w:rsidRPr="00BE6D74">
        <w:rPr>
          <w:rFonts w:ascii="Verdana" w:hAnsi="Verdana"/>
          <w:b/>
        </w:rPr>
        <w:t>EL PRESIDENTE</w:t>
      </w:r>
      <w:r w:rsidR="001F3611" w:rsidRPr="00BE6D74">
        <w:rPr>
          <w:rFonts w:ascii="Verdana" w:hAnsi="Verdana"/>
          <w:b/>
        </w:rPr>
        <w:t>,</w:t>
      </w:r>
    </w:p>
    <w:p w:rsidR="0037490A" w:rsidRPr="00BE6D74" w:rsidRDefault="00BE6D74" w:rsidP="0092769A">
      <w:pPr>
        <w:tabs>
          <w:tab w:val="center" w:pos="5529"/>
          <w:tab w:val="center" w:pos="6237"/>
        </w:tabs>
        <w:spacing w:before="240"/>
        <w:jc w:val="center"/>
        <w:rPr>
          <w:rFonts w:ascii="Verdana" w:hAnsi="Verdana"/>
        </w:rPr>
      </w:pPr>
      <w:r w:rsidRPr="00BE6D74">
        <w:rPr>
          <w:rFonts w:ascii="Verdana" w:hAnsi="Verdana"/>
        </w:rPr>
        <w:t>Pedro Manuel Martin Domínguez</w:t>
      </w:r>
    </w:p>
    <w:sectPr w:rsidR="0037490A" w:rsidRPr="00BE6D74" w:rsidSect="00DB3C7F">
      <w:headerReference w:type="default" r:id="rId6"/>
      <w:footerReference w:type="default" r:id="rId7"/>
      <w:pgSz w:w="11907" w:h="16840"/>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A8" w:rsidRDefault="00DE7CA8" w:rsidP="007D1466">
      <w:pPr>
        <w:spacing w:after="0" w:line="240" w:lineRule="auto"/>
      </w:pPr>
      <w:r>
        <w:separator/>
      </w:r>
    </w:p>
  </w:endnote>
  <w:endnote w:type="continuationSeparator" w:id="0">
    <w:p w:rsidR="00DE7CA8" w:rsidRDefault="00DE7CA8" w:rsidP="007D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C4A" w:rsidRPr="006908B1" w:rsidRDefault="00E819E2" w:rsidP="00D54C4A">
    <w:pPr>
      <w:pStyle w:val="Piedepgina"/>
      <w:rPr>
        <w:rFonts w:ascii="Verdana" w:hAnsi="Verdana"/>
        <w:sz w:val="18"/>
      </w:rPr>
    </w:pPr>
    <w:r w:rsidRPr="006908B1">
      <w:rPr>
        <w:rFonts w:ascii="Verdana" w:hAnsi="Verdana"/>
        <w:sz w:val="18"/>
      </w:rPr>
      <w:t>Plaza de España, 1</w:t>
    </w:r>
    <w:r w:rsidRPr="006908B1">
      <w:rPr>
        <w:rFonts w:ascii="Verdana" w:hAnsi="Verdana"/>
        <w:sz w:val="18"/>
      </w:rPr>
      <w:tab/>
    </w:r>
    <w:r w:rsidR="00C6357E" w:rsidRPr="006908B1">
      <w:rPr>
        <w:rStyle w:val="Nmerodepgina"/>
        <w:rFonts w:ascii="Verdana" w:hAnsi="Verdana"/>
        <w:sz w:val="18"/>
      </w:rPr>
      <w:fldChar w:fldCharType="begin"/>
    </w:r>
    <w:r w:rsidRPr="006908B1">
      <w:rPr>
        <w:rStyle w:val="Nmerodepgina"/>
        <w:rFonts w:ascii="Verdana" w:hAnsi="Verdana"/>
        <w:sz w:val="18"/>
      </w:rPr>
      <w:instrText xml:space="preserve"> PAGE </w:instrText>
    </w:r>
    <w:r w:rsidR="00C6357E" w:rsidRPr="006908B1">
      <w:rPr>
        <w:rStyle w:val="Nmerodepgina"/>
        <w:rFonts w:ascii="Verdana" w:hAnsi="Verdana"/>
        <w:sz w:val="18"/>
      </w:rPr>
      <w:fldChar w:fldCharType="separate"/>
    </w:r>
    <w:r w:rsidR="00DE7CA8">
      <w:rPr>
        <w:rStyle w:val="Nmerodepgina"/>
        <w:rFonts w:ascii="Verdana" w:hAnsi="Verdana"/>
        <w:noProof/>
        <w:sz w:val="18"/>
      </w:rPr>
      <w:t>1</w:t>
    </w:r>
    <w:r w:rsidR="00C6357E" w:rsidRPr="006908B1">
      <w:rPr>
        <w:rStyle w:val="Nmerodepgina"/>
        <w:rFonts w:ascii="Verdana" w:hAnsi="Verdana"/>
        <w:sz w:val="18"/>
      </w:rPr>
      <w:fldChar w:fldCharType="end"/>
    </w:r>
    <w:r w:rsidRPr="006908B1">
      <w:rPr>
        <w:rStyle w:val="Nmerodepgina"/>
        <w:rFonts w:ascii="Verdana" w:hAnsi="Verdana"/>
        <w:sz w:val="18"/>
      </w:rPr>
      <w:t>/</w:t>
    </w:r>
    <w:r w:rsidR="00C6357E" w:rsidRPr="006908B1">
      <w:rPr>
        <w:rStyle w:val="Nmerodepgina"/>
        <w:rFonts w:ascii="Verdana" w:hAnsi="Verdana"/>
        <w:sz w:val="18"/>
      </w:rPr>
      <w:fldChar w:fldCharType="begin"/>
    </w:r>
    <w:r w:rsidRPr="006908B1">
      <w:rPr>
        <w:rStyle w:val="Nmerodepgina"/>
        <w:rFonts w:ascii="Verdana" w:hAnsi="Verdana"/>
        <w:sz w:val="18"/>
      </w:rPr>
      <w:instrText xml:space="preserve"> NUMPAGES </w:instrText>
    </w:r>
    <w:r w:rsidR="00C6357E" w:rsidRPr="006908B1">
      <w:rPr>
        <w:rStyle w:val="Nmerodepgina"/>
        <w:rFonts w:ascii="Verdana" w:hAnsi="Verdana"/>
        <w:sz w:val="18"/>
      </w:rPr>
      <w:fldChar w:fldCharType="separate"/>
    </w:r>
    <w:r w:rsidR="00DE7CA8">
      <w:rPr>
        <w:rStyle w:val="Nmerodepgina"/>
        <w:rFonts w:ascii="Verdana" w:hAnsi="Verdana"/>
        <w:noProof/>
        <w:sz w:val="18"/>
      </w:rPr>
      <w:t>1</w:t>
    </w:r>
    <w:r w:rsidR="00C6357E" w:rsidRPr="006908B1">
      <w:rPr>
        <w:rStyle w:val="Nmerodepgina"/>
        <w:rFonts w:ascii="Verdana" w:hAnsi="Verdana"/>
        <w:sz w:val="18"/>
      </w:rPr>
      <w:fldChar w:fldCharType="end"/>
    </w:r>
  </w:p>
  <w:p w:rsidR="00D54C4A" w:rsidRPr="006908B1" w:rsidRDefault="00E819E2" w:rsidP="00D54C4A">
    <w:pPr>
      <w:pStyle w:val="Piedepgina"/>
      <w:rPr>
        <w:rFonts w:ascii="Verdana" w:hAnsi="Verdana"/>
        <w:sz w:val="18"/>
      </w:rPr>
    </w:pPr>
    <w:r w:rsidRPr="006908B1">
      <w:rPr>
        <w:rFonts w:ascii="Verdana" w:hAnsi="Verdana"/>
        <w:sz w:val="18"/>
      </w:rPr>
      <w:t>38003 Santa Cruz de Tenerife</w:t>
    </w:r>
  </w:p>
  <w:p w:rsidR="00D54C4A" w:rsidRPr="006908B1" w:rsidRDefault="00E819E2" w:rsidP="00D54C4A">
    <w:pPr>
      <w:pStyle w:val="Piedepgina"/>
      <w:rPr>
        <w:rFonts w:ascii="Verdana" w:hAnsi="Verdana"/>
        <w:sz w:val="18"/>
      </w:rPr>
    </w:pPr>
    <w:r w:rsidRPr="006908B1">
      <w:rPr>
        <w:rFonts w:ascii="Verdana" w:hAnsi="Verdana"/>
        <w:sz w:val="18"/>
      </w:rPr>
      <w:t xml:space="preserve">Teléfono.: </w:t>
    </w:r>
    <w:smartTag w:uri="urn:schemas-microsoft-com:office:smarttags" w:element="phone">
      <w:smartTagPr>
        <w:attr w:uri="urn:schemas-microsoft-com:office:office" w:name="ls" w:val="trans"/>
      </w:smartTagPr>
      <w:r w:rsidRPr="006908B1">
        <w:rPr>
          <w:rFonts w:ascii="Verdana" w:hAnsi="Verdana"/>
          <w:sz w:val="18"/>
        </w:rPr>
        <w:t>901 501 901</w:t>
      </w:r>
    </w:smartTag>
  </w:p>
  <w:p w:rsidR="00D54C4A" w:rsidRPr="006908B1" w:rsidRDefault="00E819E2" w:rsidP="00D54C4A">
    <w:pPr>
      <w:pStyle w:val="Piedepgina"/>
      <w:rPr>
        <w:rFonts w:ascii="Verdana" w:hAnsi="Verdana"/>
        <w:sz w:val="18"/>
      </w:rPr>
    </w:pPr>
    <w:r w:rsidRPr="006908B1">
      <w:rPr>
        <w:rFonts w:ascii="Verdana" w:hAnsi="Verdana"/>
        <w:sz w:val="18"/>
      </w:rPr>
      <w:t>www.tenerife.es</w:t>
    </w:r>
  </w:p>
  <w:p w:rsidR="00D54C4A" w:rsidRDefault="00DE7C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A8" w:rsidRDefault="00DE7CA8" w:rsidP="007D1466">
      <w:pPr>
        <w:spacing w:after="0" w:line="240" w:lineRule="auto"/>
      </w:pPr>
      <w:r>
        <w:separator/>
      </w:r>
    </w:p>
  </w:footnote>
  <w:footnote w:type="continuationSeparator" w:id="0">
    <w:p w:rsidR="00DE7CA8" w:rsidRDefault="00DE7CA8" w:rsidP="007D1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6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085"/>
      <w:gridCol w:w="7003"/>
      <w:gridCol w:w="6760"/>
    </w:tblGrid>
    <w:tr w:rsidR="000265B8" w:rsidRPr="003312E9" w:rsidTr="00E517A5">
      <w:trPr>
        <w:trHeight w:val="1276"/>
      </w:trPr>
      <w:tc>
        <w:tcPr>
          <w:tcW w:w="3085" w:type="dxa"/>
        </w:tcPr>
        <w:p w:rsidR="000265B8" w:rsidRDefault="00E819E2" w:rsidP="00D809EA">
          <w:r>
            <w:rPr>
              <w:noProof/>
            </w:rPr>
            <w:drawing>
              <wp:inline distT="0" distB="0" distL="0" distR="0">
                <wp:extent cx="1085850" cy="847725"/>
                <wp:effectExtent l="19050" t="0" r="0" b="0"/>
                <wp:docPr id="5" name="Imagen 7"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bildo de Tenerife"/>
                        <pic:cNvPicPr>
                          <a:picLocks noChangeAspect="1" noChangeArrowheads="1"/>
                        </pic:cNvPicPr>
                      </pic:nvPicPr>
                      <pic:blipFill>
                        <a:blip r:embed="rId1"/>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7003" w:type="dxa"/>
        </w:tcPr>
        <w:p w:rsidR="000265B8" w:rsidRPr="00E517A5" w:rsidRDefault="008651A4" w:rsidP="008240AF">
          <w:pPr>
            <w:pStyle w:val="Area"/>
            <w:spacing w:before="240"/>
            <w:rPr>
              <w:rFonts w:ascii="Verdana" w:hAnsi="Verdana"/>
              <w:b/>
              <w:sz w:val="24"/>
            </w:rPr>
          </w:pPr>
          <w:r>
            <w:rPr>
              <w:rFonts w:ascii="Verdana" w:hAnsi="Verdana"/>
              <w:b/>
              <w:sz w:val="24"/>
            </w:rPr>
            <w:t>Cabildo Insular de Tenerife</w:t>
          </w:r>
        </w:p>
        <w:p w:rsidR="000265B8" w:rsidRPr="003312E9" w:rsidRDefault="00E819E2" w:rsidP="008240AF">
          <w:pPr>
            <w:pStyle w:val="Area"/>
          </w:pPr>
          <w:r w:rsidRPr="000265B8">
            <w:rPr>
              <w:rFonts w:ascii="Verdana" w:hAnsi="Verdana"/>
            </w:rPr>
            <w:t>Secretaría General del Pleno</w:t>
          </w:r>
        </w:p>
      </w:tc>
      <w:tc>
        <w:tcPr>
          <w:tcW w:w="6760" w:type="dxa"/>
        </w:tcPr>
        <w:p w:rsidR="000265B8" w:rsidRPr="001E3DD0" w:rsidRDefault="00DE7CA8" w:rsidP="001E3DD0">
          <w:pPr>
            <w:pStyle w:val="Area"/>
            <w:spacing w:before="240"/>
            <w:rPr>
              <w:rFonts w:ascii="Verdana" w:hAnsi="Verdana"/>
              <w:b/>
            </w:rPr>
          </w:pPr>
        </w:p>
      </w:tc>
    </w:tr>
  </w:tbl>
  <w:p w:rsidR="00D54C4A" w:rsidRDefault="00DE7CA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characterSpacingControl w:val="doNotCompress"/>
  <w:savePreviewPicture/>
  <w:footnotePr>
    <w:footnote w:id="-1"/>
    <w:footnote w:id="0"/>
  </w:footnotePr>
  <w:endnotePr>
    <w:endnote w:id="-1"/>
    <w:endnote w:id="0"/>
  </w:endnotePr>
  <w:compat/>
  <w:rsids>
    <w:rsidRoot w:val="00E819E2"/>
    <w:rsid w:val="00040343"/>
    <w:rsid w:val="0004455D"/>
    <w:rsid w:val="00050CE1"/>
    <w:rsid w:val="00060048"/>
    <w:rsid w:val="000649B4"/>
    <w:rsid w:val="00081720"/>
    <w:rsid w:val="000A57D5"/>
    <w:rsid w:val="000A7786"/>
    <w:rsid w:val="000B5CAE"/>
    <w:rsid w:val="000C1A34"/>
    <w:rsid w:val="000C7648"/>
    <w:rsid w:val="000D1DC8"/>
    <w:rsid w:val="000E3830"/>
    <w:rsid w:val="000F363E"/>
    <w:rsid w:val="000F4677"/>
    <w:rsid w:val="000F7FC0"/>
    <w:rsid w:val="001105BB"/>
    <w:rsid w:val="00124DB0"/>
    <w:rsid w:val="0015263F"/>
    <w:rsid w:val="00154D14"/>
    <w:rsid w:val="0015713A"/>
    <w:rsid w:val="001B3DD2"/>
    <w:rsid w:val="001C4280"/>
    <w:rsid w:val="001D18D2"/>
    <w:rsid w:val="001E2093"/>
    <w:rsid w:val="001F0E11"/>
    <w:rsid w:val="001F3611"/>
    <w:rsid w:val="00202562"/>
    <w:rsid w:val="00215EED"/>
    <w:rsid w:val="00234AF5"/>
    <w:rsid w:val="0023743D"/>
    <w:rsid w:val="00243895"/>
    <w:rsid w:val="00245698"/>
    <w:rsid w:val="00254773"/>
    <w:rsid w:val="00261165"/>
    <w:rsid w:val="00270059"/>
    <w:rsid w:val="0027006F"/>
    <w:rsid w:val="00272F3A"/>
    <w:rsid w:val="002B30D7"/>
    <w:rsid w:val="002C767B"/>
    <w:rsid w:val="002D5052"/>
    <w:rsid w:val="002E262A"/>
    <w:rsid w:val="002E463C"/>
    <w:rsid w:val="002E7CD6"/>
    <w:rsid w:val="0030414B"/>
    <w:rsid w:val="00307470"/>
    <w:rsid w:val="00325A80"/>
    <w:rsid w:val="00326F4C"/>
    <w:rsid w:val="003430C4"/>
    <w:rsid w:val="00343290"/>
    <w:rsid w:val="0035490E"/>
    <w:rsid w:val="00362623"/>
    <w:rsid w:val="003855E9"/>
    <w:rsid w:val="003A184B"/>
    <w:rsid w:val="003D1F70"/>
    <w:rsid w:val="003D659D"/>
    <w:rsid w:val="00411927"/>
    <w:rsid w:val="004229EA"/>
    <w:rsid w:val="00425907"/>
    <w:rsid w:val="00430D03"/>
    <w:rsid w:val="00442487"/>
    <w:rsid w:val="004A45C7"/>
    <w:rsid w:val="004C2CA0"/>
    <w:rsid w:val="004C5B0B"/>
    <w:rsid w:val="004D13F0"/>
    <w:rsid w:val="004D3A03"/>
    <w:rsid w:val="00501254"/>
    <w:rsid w:val="00513EC4"/>
    <w:rsid w:val="0052254B"/>
    <w:rsid w:val="0054024D"/>
    <w:rsid w:val="005423FE"/>
    <w:rsid w:val="00564FEC"/>
    <w:rsid w:val="00591E2A"/>
    <w:rsid w:val="00592852"/>
    <w:rsid w:val="005A6B2D"/>
    <w:rsid w:val="005B6B01"/>
    <w:rsid w:val="005E03E7"/>
    <w:rsid w:val="005E5749"/>
    <w:rsid w:val="005F2015"/>
    <w:rsid w:val="0060243F"/>
    <w:rsid w:val="00604E59"/>
    <w:rsid w:val="00614236"/>
    <w:rsid w:val="0064788B"/>
    <w:rsid w:val="006908B1"/>
    <w:rsid w:val="006973D9"/>
    <w:rsid w:val="006A71B3"/>
    <w:rsid w:val="006C2007"/>
    <w:rsid w:val="006C7209"/>
    <w:rsid w:val="006D2C6F"/>
    <w:rsid w:val="006F3221"/>
    <w:rsid w:val="00714186"/>
    <w:rsid w:val="00714862"/>
    <w:rsid w:val="00717210"/>
    <w:rsid w:val="007368B9"/>
    <w:rsid w:val="007578EC"/>
    <w:rsid w:val="00762623"/>
    <w:rsid w:val="007663C2"/>
    <w:rsid w:val="00777589"/>
    <w:rsid w:val="007B1C24"/>
    <w:rsid w:val="007C227A"/>
    <w:rsid w:val="007C3315"/>
    <w:rsid w:val="007C7F03"/>
    <w:rsid w:val="007D1466"/>
    <w:rsid w:val="00813FB5"/>
    <w:rsid w:val="008361F2"/>
    <w:rsid w:val="0086498A"/>
    <w:rsid w:val="008649A1"/>
    <w:rsid w:val="008651A4"/>
    <w:rsid w:val="008720F8"/>
    <w:rsid w:val="00876F60"/>
    <w:rsid w:val="008C110D"/>
    <w:rsid w:val="008D10E0"/>
    <w:rsid w:val="008E3B6D"/>
    <w:rsid w:val="008E52C4"/>
    <w:rsid w:val="0092769A"/>
    <w:rsid w:val="00954193"/>
    <w:rsid w:val="00965773"/>
    <w:rsid w:val="00971411"/>
    <w:rsid w:val="00971C8F"/>
    <w:rsid w:val="00981DCF"/>
    <w:rsid w:val="009922BB"/>
    <w:rsid w:val="009974C0"/>
    <w:rsid w:val="009B2620"/>
    <w:rsid w:val="009D68EF"/>
    <w:rsid w:val="009E3CB6"/>
    <w:rsid w:val="009E6D9C"/>
    <w:rsid w:val="00A06D98"/>
    <w:rsid w:val="00A11E47"/>
    <w:rsid w:val="00A26AEF"/>
    <w:rsid w:val="00A66731"/>
    <w:rsid w:val="00A67283"/>
    <w:rsid w:val="00AC62DC"/>
    <w:rsid w:val="00B76725"/>
    <w:rsid w:val="00BB3B61"/>
    <w:rsid w:val="00BC53BF"/>
    <w:rsid w:val="00BE6D74"/>
    <w:rsid w:val="00BF4FF4"/>
    <w:rsid w:val="00C31372"/>
    <w:rsid w:val="00C6357E"/>
    <w:rsid w:val="00C9097E"/>
    <w:rsid w:val="00C9337F"/>
    <w:rsid w:val="00C94A78"/>
    <w:rsid w:val="00CC121F"/>
    <w:rsid w:val="00CD3AAF"/>
    <w:rsid w:val="00D06C67"/>
    <w:rsid w:val="00D12EAE"/>
    <w:rsid w:val="00D26C29"/>
    <w:rsid w:val="00D51F8A"/>
    <w:rsid w:val="00D57C5E"/>
    <w:rsid w:val="00D85E07"/>
    <w:rsid w:val="00DD378C"/>
    <w:rsid w:val="00DE79B7"/>
    <w:rsid w:val="00DE7CA8"/>
    <w:rsid w:val="00E23185"/>
    <w:rsid w:val="00E42877"/>
    <w:rsid w:val="00E44FFD"/>
    <w:rsid w:val="00E517A5"/>
    <w:rsid w:val="00E60A87"/>
    <w:rsid w:val="00E747D8"/>
    <w:rsid w:val="00E80075"/>
    <w:rsid w:val="00E80602"/>
    <w:rsid w:val="00E819E2"/>
    <w:rsid w:val="00EA6CCA"/>
    <w:rsid w:val="00EB6281"/>
    <w:rsid w:val="00ED2702"/>
    <w:rsid w:val="00ED576F"/>
    <w:rsid w:val="00F02C0C"/>
    <w:rsid w:val="00F05580"/>
    <w:rsid w:val="00F52B00"/>
    <w:rsid w:val="00F52EBA"/>
    <w:rsid w:val="00F63B5A"/>
    <w:rsid w:val="00F95F9D"/>
    <w:rsid w:val="00FB685E"/>
    <w:rsid w:val="00FD68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19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9E2"/>
  </w:style>
  <w:style w:type="paragraph" w:styleId="Piedepgina">
    <w:name w:val="footer"/>
    <w:basedOn w:val="Normal"/>
    <w:link w:val="PiedepginaCar"/>
    <w:unhideWhenUsed/>
    <w:rsid w:val="00E819E2"/>
    <w:pPr>
      <w:tabs>
        <w:tab w:val="center" w:pos="4252"/>
        <w:tab w:val="right" w:pos="8504"/>
      </w:tabs>
      <w:spacing w:after="0" w:line="240" w:lineRule="auto"/>
    </w:pPr>
  </w:style>
  <w:style w:type="character" w:customStyle="1" w:styleId="PiedepginaCar">
    <w:name w:val="Pie de página Car"/>
    <w:basedOn w:val="Fuentedeprrafopredeter"/>
    <w:link w:val="Piedepgina"/>
    <w:rsid w:val="00E819E2"/>
  </w:style>
  <w:style w:type="paragraph" w:customStyle="1" w:styleId="Area">
    <w:name w:val="Area"/>
    <w:basedOn w:val="Normal"/>
    <w:rsid w:val="00E819E2"/>
    <w:pPr>
      <w:spacing w:after="0" w:line="200" w:lineRule="exact"/>
      <w:jc w:val="both"/>
    </w:pPr>
    <w:rPr>
      <w:rFonts w:ascii="Arial" w:eastAsia="Cambria" w:hAnsi="Arial" w:cs="Arial"/>
      <w:bCs/>
      <w:sz w:val="18"/>
      <w:szCs w:val="24"/>
    </w:rPr>
  </w:style>
  <w:style w:type="table" w:styleId="Tablaconcuadrcula">
    <w:name w:val="Table Grid"/>
    <w:aliases w:val="Tabla"/>
    <w:basedOn w:val="Tablanormal"/>
    <w:rsid w:val="00E819E2"/>
    <w:pPr>
      <w:spacing w:after="0" w:line="240" w:lineRule="auto"/>
      <w:jc w:val="both"/>
    </w:pPr>
    <w:rPr>
      <w:rFonts w:ascii="Arial" w:eastAsia="Cambria" w:hAnsi="Arial" w:cs="Times New Roman"/>
      <w:sz w:val="24"/>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819E2"/>
  </w:style>
  <w:style w:type="paragraph" w:customStyle="1" w:styleId="Cuerpo">
    <w:name w:val="Cuerpo"/>
    <w:uiPriority w:val="99"/>
    <w:rsid w:val="00E819E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Cambria" w:hAnsi="Calibri" w:cs="Calibri"/>
      <w:color w:val="000000"/>
      <w:u w:color="000000"/>
      <w:lang w:eastAsia="es-ES"/>
    </w:rPr>
  </w:style>
  <w:style w:type="paragraph" w:styleId="Textodeglobo">
    <w:name w:val="Balloon Text"/>
    <w:basedOn w:val="Normal"/>
    <w:link w:val="TextodegloboCar"/>
    <w:uiPriority w:val="99"/>
    <w:semiHidden/>
    <w:unhideWhenUsed/>
    <w:rsid w:val="00E81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9E2"/>
    <w:rPr>
      <w:rFonts w:ascii="Tahoma" w:hAnsi="Tahoma" w:cs="Tahoma"/>
      <w:sz w:val="16"/>
      <w:szCs w:val="16"/>
    </w:rPr>
  </w:style>
  <w:style w:type="paragraph" w:customStyle="1" w:styleId="Heading1">
    <w:name w:val="Heading 1"/>
    <w:basedOn w:val="Normal"/>
    <w:uiPriority w:val="1"/>
    <w:qFormat/>
    <w:rsid w:val="00E60A87"/>
    <w:pPr>
      <w:widowControl w:val="0"/>
      <w:autoSpaceDE w:val="0"/>
      <w:autoSpaceDN w:val="0"/>
      <w:spacing w:after="0" w:line="240" w:lineRule="auto"/>
      <w:ind w:left="849"/>
      <w:outlineLvl w:val="1"/>
    </w:pPr>
    <w:rPr>
      <w:rFonts w:ascii="Arial" w:eastAsia="Arial" w:hAnsi="Arial" w:cs="Arial"/>
      <w:b/>
      <w:bCs/>
      <w:sz w:val="17"/>
      <w:szCs w:val="17"/>
      <w:lang w:val="en-US"/>
    </w:rPr>
  </w:style>
</w:styles>
</file>

<file path=word/webSettings.xml><?xml version="1.0" encoding="utf-8"?>
<w:webSettings xmlns:r="http://schemas.openxmlformats.org/officeDocument/2006/relationships" xmlns:w="http://schemas.openxmlformats.org/wordprocessingml/2006/main">
  <w:divs>
    <w:div w:id="16108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1031</Words>
  <Characters>5672</Characters>
  <Application>Microsoft Office Word</Application>
  <DocSecurity>0</DocSecurity>
  <Lines>47</Lines>
  <Paragraphs>13</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ÁREA DE PRESIDENCIA, HACIENDA Y MODERNIZACIÓN.</vt:lpstr>
    </vt:vector>
  </TitlesOfParts>
  <Company>Hewlett-Packard Company</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RNFiguera</dc:creator>
  <cp:lastModifiedBy>RNFiguera</cp:lastModifiedBy>
  <cp:revision>6</cp:revision>
  <cp:lastPrinted>2019-12-27T09:28:00Z</cp:lastPrinted>
  <dcterms:created xsi:type="dcterms:W3CDTF">2020-05-06T16:44:00Z</dcterms:created>
  <dcterms:modified xsi:type="dcterms:W3CDTF">2020-06-08T11:01:00Z</dcterms:modified>
</cp:coreProperties>
</file>